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E3" w:rsidRPr="0003455B" w:rsidRDefault="009C76E3" w:rsidP="008F5A20">
      <w:pPr>
        <w:pStyle w:val="Listenabsatz"/>
        <w:numPr>
          <w:ilvl w:val="0"/>
          <w:numId w:val="1"/>
        </w:numPr>
        <w:rPr>
          <w:sz w:val="22"/>
        </w:rPr>
      </w:pPr>
      <w:bookmarkStart w:id="0" w:name="_Ref452644949"/>
      <w:bookmarkStart w:id="1" w:name="_GoBack"/>
      <w:r w:rsidRPr="0003455B">
        <w:rPr>
          <w:b/>
          <w:sz w:val="44"/>
        </w:rPr>
        <w:t>Übergang von HRM1 zu HRM2</w:t>
      </w:r>
      <w:bookmarkEnd w:id="0"/>
    </w:p>
    <w:tbl>
      <w:tblPr>
        <w:tblStyle w:val="Tabellenraster25"/>
        <w:tblW w:w="10319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C76E3" w:rsidRPr="0003455B" w:rsidTr="00971432">
        <w:tc>
          <w:tcPr>
            <w:tcW w:w="10343" w:type="dxa"/>
            <w:shd w:val="clear" w:color="auto" w:fill="FBD4B4" w:themeFill="accent6" w:themeFillTint="66"/>
          </w:tcPr>
          <w:bookmarkEnd w:id="1"/>
          <w:p w:rsidR="009C76E3" w:rsidRPr="0003455B" w:rsidRDefault="009C76E3" w:rsidP="002D0454">
            <w:pPr>
              <w:spacing w:before="120" w:after="120"/>
              <w:rPr>
                <w:rFonts w:cs="Arial"/>
                <w:b/>
                <w:sz w:val="24"/>
              </w:rPr>
            </w:pPr>
            <w:r w:rsidRPr="0003455B">
              <w:rPr>
                <w:rFonts w:cs="Arial"/>
                <w:b/>
                <w:sz w:val="24"/>
              </w:rPr>
              <w:t>Prüfungsziel</w:t>
            </w:r>
          </w:p>
        </w:tc>
      </w:tr>
      <w:tr w:rsidR="009C76E3" w:rsidRPr="00C62AA2" w:rsidTr="008F5A20">
        <w:tc>
          <w:tcPr>
            <w:tcW w:w="10343" w:type="dxa"/>
            <w:tcBorders>
              <w:bottom w:val="single" w:sz="6" w:space="0" w:color="auto"/>
            </w:tcBorders>
            <w:vAlign w:val="center"/>
          </w:tcPr>
          <w:p w:rsidR="009C76E3" w:rsidRPr="00C62AA2" w:rsidRDefault="009C76E3" w:rsidP="002D0454">
            <w:pPr>
              <w:spacing w:before="120" w:after="120"/>
              <w:rPr>
                <w:szCs w:val="20"/>
              </w:rPr>
            </w:pPr>
            <w:r w:rsidRPr="00C62AA2">
              <w:rPr>
                <w:szCs w:val="20"/>
              </w:rPr>
              <w:t>Einmalige Prüfung im Jahr des Übergangs vom bisherigen harmonisierten Rechnungsmodell (HRM1) zum harmonisierten Rechnungsmodell 2 (HRM2) des Nachvollzugs der Schlussbilanz per 31. Dezember unter HRM1 und der Eingangsbilanz per 1. Januar unter HRM2. Plausibilisierung der Umschlüsselung des Kontenplans</w:t>
            </w:r>
            <w:r>
              <w:rPr>
                <w:szCs w:val="20"/>
              </w:rPr>
              <w:t>.</w:t>
            </w:r>
          </w:p>
        </w:tc>
      </w:tr>
      <w:tr w:rsidR="009C76E3" w:rsidRPr="0003455B" w:rsidTr="00971432">
        <w:tc>
          <w:tcPr>
            <w:tcW w:w="10343" w:type="dxa"/>
            <w:shd w:val="clear" w:color="auto" w:fill="FBD4B4" w:themeFill="accent6" w:themeFillTint="66"/>
          </w:tcPr>
          <w:p w:rsidR="009C76E3" w:rsidRPr="0003455B" w:rsidRDefault="009C76E3" w:rsidP="002D0454">
            <w:pPr>
              <w:spacing w:before="120" w:after="120"/>
              <w:rPr>
                <w:rFonts w:cs="Arial"/>
                <w:b/>
                <w:sz w:val="24"/>
              </w:rPr>
            </w:pPr>
            <w:r w:rsidRPr="0003455B">
              <w:rPr>
                <w:rFonts w:cs="Arial"/>
                <w:b/>
                <w:sz w:val="24"/>
              </w:rPr>
              <w:t>Prüfungsgrundlagen</w:t>
            </w:r>
          </w:p>
        </w:tc>
      </w:tr>
      <w:tr w:rsidR="009C76E3" w:rsidRPr="00C62AA2" w:rsidTr="002D0454">
        <w:tc>
          <w:tcPr>
            <w:tcW w:w="10343" w:type="dxa"/>
            <w:vAlign w:val="center"/>
          </w:tcPr>
          <w:p w:rsidR="009C76E3" w:rsidRPr="00C62AA2" w:rsidRDefault="009C76E3" w:rsidP="002D0454">
            <w:pPr>
              <w:spacing w:before="120" w:after="120"/>
              <w:rPr>
                <w:szCs w:val="20"/>
              </w:rPr>
            </w:pPr>
            <w:r w:rsidRPr="00C62AA2">
              <w:rPr>
                <w:szCs w:val="20"/>
              </w:rPr>
              <w:t>Vorjahresrechnung (Schlussbilanz HRM1), Beschlüsse über vorzunehmende Bewertungskorrekturen, Berechnungen, Belege, Eingangsbilanz HRM2</w:t>
            </w:r>
          </w:p>
        </w:tc>
      </w:tr>
    </w:tbl>
    <w:p w:rsidR="009C76E3" w:rsidRPr="0003455B" w:rsidRDefault="009C76E3" w:rsidP="009C76E3">
      <w:pPr>
        <w:spacing w:after="0"/>
        <w:ind w:left="-567"/>
        <w:rPr>
          <w:rFonts w:cs="Arial"/>
          <w:b/>
        </w:rPr>
      </w:pPr>
    </w:p>
    <w:tbl>
      <w:tblPr>
        <w:tblW w:w="10376" w:type="dxa"/>
        <w:tblInd w:w="-5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55"/>
        <w:gridCol w:w="3378"/>
        <w:gridCol w:w="3655"/>
        <w:gridCol w:w="59"/>
        <w:gridCol w:w="1068"/>
        <w:gridCol w:w="7"/>
        <w:gridCol w:w="1223"/>
        <w:gridCol w:w="65"/>
        <w:gridCol w:w="57"/>
      </w:tblGrid>
      <w:tr w:rsidR="009C76E3" w:rsidRPr="0003455B" w:rsidTr="00971432">
        <w:trPr>
          <w:gridAfter w:val="1"/>
          <w:wAfter w:w="57" w:type="dxa"/>
          <w:cantSplit/>
          <w:tblHeader/>
        </w:trPr>
        <w:tc>
          <w:tcPr>
            <w:tcW w:w="4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E2A7"/>
            <w:vAlign w:val="center"/>
          </w:tcPr>
          <w:p w:rsidR="009C76E3" w:rsidRPr="0003455B" w:rsidRDefault="009C76E3" w:rsidP="009714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CH"/>
              </w:rPr>
            </w:pPr>
            <w:r w:rsidRPr="0003455B">
              <w:rPr>
                <w:rFonts w:eastAsia="Times New Roman" w:cs="Times New Roman"/>
                <w:b/>
                <w:sz w:val="24"/>
                <w:szCs w:val="24"/>
                <w:lang w:eastAsia="de-CH"/>
              </w:rPr>
              <w:t>Obligatorische Prüfungshandlungen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E2A7"/>
            <w:vAlign w:val="center"/>
          </w:tcPr>
          <w:p w:rsidR="009C76E3" w:rsidRPr="0003455B" w:rsidRDefault="009C76E3" w:rsidP="002D045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CH"/>
              </w:rPr>
            </w:pPr>
            <w:r w:rsidRPr="0003455B">
              <w:rPr>
                <w:rFonts w:eastAsia="Times New Roman" w:cs="Times New Roman"/>
                <w:b/>
                <w:sz w:val="24"/>
                <w:szCs w:val="24"/>
                <w:lang w:eastAsia="de-CH"/>
              </w:rPr>
              <w:t>Bemerkungen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2A7"/>
            <w:vAlign w:val="center"/>
          </w:tcPr>
          <w:p w:rsidR="009C76E3" w:rsidRPr="0003455B" w:rsidRDefault="009C76E3" w:rsidP="002D0454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2"/>
                <w:vertAlign w:val="superscript"/>
                <w:lang w:eastAsia="de-CH"/>
              </w:rPr>
            </w:pPr>
            <w:r w:rsidRPr="0003455B">
              <w:rPr>
                <w:rFonts w:eastAsia="Times New Roman" w:cs="Times New Roman"/>
                <w:b/>
                <w:sz w:val="24"/>
                <w:szCs w:val="24"/>
                <w:lang w:eastAsia="de-CH"/>
              </w:rPr>
              <w:t>Beur-teilung</w:t>
            </w:r>
            <w:r w:rsidRPr="0003455B">
              <w:rPr>
                <w:rFonts w:eastAsia="Times New Roman" w:cs="Times New Roman"/>
                <w:b/>
                <w:sz w:val="22"/>
                <w:vertAlign w:val="superscript"/>
                <w:lang w:eastAsia="de-CH"/>
              </w:rPr>
              <w:t>*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2A7"/>
            <w:vAlign w:val="center"/>
          </w:tcPr>
          <w:p w:rsidR="009C76E3" w:rsidRPr="0003455B" w:rsidRDefault="009C76E3" w:rsidP="002D045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CH"/>
              </w:rPr>
            </w:pPr>
            <w:r w:rsidRPr="0003455B">
              <w:rPr>
                <w:rFonts w:eastAsia="Times New Roman" w:cs="Times New Roman"/>
                <w:b/>
                <w:sz w:val="24"/>
                <w:szCs w:val="24"/>
                <w:lang w:eastAsia="de-CH"/>
              </w:rPr>
              <w:t>Referenz</w:t>
            </w:r>
          </w:p>
        </w:tc>
      </w:tr>
      <w:tr w:rsidR="009C76E3" w:rsidRPr="0003455B" w:rsidTr="002D0454">
        <w:trPr>
          <w:cantSplit/>
          <w:tblHeader/>
        </w:trPr>
        <w:tc>
          <w:tcPr>
            <w:tcW w:w="809" w:type="dxa"/>
            <w:shd w:val="clear" w:color="auto" w:fill="auto"/>
          </w:tcPr>
          <w:p w:rsidR="009C76E3" w:rsidRPr="0003455B" w:rsidRDefault="009C76E3" w:rsidP="002D0454">
            <w:pPr>
              <w:spacing w:after="0" w:line="240" w:lineRule="auto"/>
              <w:rPr>
                <w:rFonts w:eastAsia="Times New Roman" w:cs="Times New Roman"/>
                <w:b/>
                <w:szCs w:val="20"/>
                <w:lang w:eastAsia="de-CH"/>
              </w:rPr>
            </w:pPr>
          </w:p>
        </w:tc>
        <w:tc>
          <w:tcPr>
            <w:tcW w:w="9567" w:type="dxa"/>
            <w:gridSpan w:val="9"/>
            <w:shd w:val="clear" w:color="auto" w:fill="auto"/>
          </w:tcPr>
          <w:p w:rsidR="009C76E3" w:rsidRPr="0003455B" w:rsidRDefault="009C76E3" w:rsidP="002D0454">
            <w:pPr>
              <w:spacing w:after="0" w:line="240" w:lineRule="auto"/>
              <w:rPr>
                <w:rFonts w:eastAsia="Times New Roman" w:cs="Times New Roman"/>
                <w:b/>
                <w:szCs w:val="20"/>
                <w:lang w:eastAsia="de-CH"/>
              </w:rPr>
            </w:pPr>
          </w:p>
        </w:tc>
      </w:tr>
      <w:tr w:rsidR="009C76E3" w:rsidRPr="0003455B" w:rsidTr="00971432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b/>
                <w:sz w:val="22"/>
                <w:szCs w:val="20"/>
                <w:lang w:eastAsia="de-CH"/>
              </w:rPr>
            </w:pPr>
            <w:r w:rsidRPr="0003455B">
              <w:rPr>
                <w:rFonts w:eastAsia="Times New Roman" w:cs="Times New Roman"/>
                <w:b/>
                <w:sz w:val="22"/>
                <w:szCs w:val="20"/>
                <w:lang w:eastAsia="de-CH"/>
              </w:rPr>
              <w:t>29.1</w:t>
            </w:r>
          </w:p>
        </w:tc>
        <w:tc>
          <w:tcPr>
            <w:tcW w:w="94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2"/>
                <w:szCs w:val="20"/>
                <w:lang w:eastAsia="de-CH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de-CH"/>
              </w:rPr>
              <w:t>Fragen zum Übergang</w:t>
            </w:r>
          </w:p>
        </w:tc>
      </w:tr>
      <w:tr w:rsidR="009C76E3" w:rsidRPr="0003455B" w:rsidTr="002D0454">
        <w:trPr>
          <w:gridAfter w:val="2"/>
          <w:wAfter w:w="122" w:type="dxa"/>
          <w:cantSplit/>
        </w:trPr>
        <w:tc>
          <w:tcPr>
            <w:tcW w:w="86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19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29.1.1</w:t>
            </w:r>
          </w:p>
        </w:tc>
        <w:tc>
          <w:tcPr>
            <w:tcW w:w="3378" w:type="dxa"/>
            <w:tcBorders>
              <w:top w:val="single" w:sz="4" w:space="0" w:color="auto"/>
            </w:tcBorders>
          </w:tcPr>
          <w:p w:rsidR="009C76E3" w:rsidRPr="0003455B" w:rsidRDefault="009C76E3" w:rsidP="002D0454">
            <w:pPr>
              <w:spacing w:before="120" w:after="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 w:rsidRPr="0003455B">
              <w:t>Kann die Umschlüsselung von HRM1 auf HRM2 nachvollzogen werden?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/>
              <w:rPr>
                <w:rFonts w:eastAsia="Times New Roman" w:cs="Times New Roman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667983941"/>
            <w:placeholder>
              <w:docPart w:val="6CB1939600464183B421E57C26740272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075" w:type="dxa"/>
                <w:gridSpan w:val="2"/>
                <w:tcBorders>
                  <w:top w:val="single" w:sz="4" w:space="0" w:color="auto"/>
                </w:tcBorders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23" w:type="dxa"/>
            <w:tcBorders>
              <w:top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2"/>
          <w:wAfter w:w="122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</w:tcPr>
          <w:p w:rsidR="009C76E3" w:rsidRPr="003B652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 w:rsidRPr="003B6523">
              <w:rPr>
                <w:rFonts w:eastAsia="Times New Roman" w:cs="Times New Roman"/>
                <w:szCs w:val="20"/>
                <w:lang w:eastAsia="de-CH"/>
              </w:rPr>
              <w:t>29.1</w:t>
            </w:r>
            <w:r>
              <w:rPr>
                <w:rFonts w:eastAsia="Times New Roman" w:cs="Times New Roman"/>
                <w:szCs w:val="20"/>
                <w:lang w:eastAsia="de-CH"/>
              </w:rPr>
              <w:t>.2</w:t>
            </w:r>
          </w:p>
        </w:tc>
        <w:tc>
          <w:tcPr>
            <w:tcW w:w="3378" w:type="dxa"/>
          </w:tcPr>
          <w:p w:rsidR="009C76E3" w:rsidRDefault="009C76E3" w:rsidP="002D0454">
            <w:pPr>
              <w:spacing w:before="120" w:after="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 w:rsidRPr="0003455B">
              <w:rPr>
                <w:rFonts w:eastAsia="Times New Roman" w:cs="Times New Roman"/>
                <w:szCs w:val="20"/>
                <w:lang w:eastAsia="de-CH"/>
              </w:rPr>
              <w:t>Wurde das bestehende VV bei der Einführung von HRM2 zu Buchwerten übernommen</w:t>
            </w:r>
            <w:r>
              <w:rPr>
                <w:rFonts w:eastAsia="Times New Roman" w:cs="Times New Roman"/>
                <w:szCs w:val="20"/>
                <w:lang w:eastAsia="de-CH"/>
              </w:rPr>
              <w:t>?</w:t>
            </w:r>
            <w:r w:rsidRPr="0003455B">
              <w:rPr>
                <w:rFonts w:eastAsia="Times New Roman" w:cs="Times New Roman"/>
                <w:szCs w:val="20"/>
                <w:lang w:eastAsia="de-CH"/>
              </w:rPr>
              <w:t xml:space="preserve"> </w:t>
            </w:r>
            <w:r w:rsidRPr="0003455B">
              <w:rPr>
                <w:rFonts w:eastAsia="Times New Roman" w:cs="Times New Roman"/>
                <w:szCs w:val="20"/>
                <w:lang w:eastAsia="de-CH"/>
              </w:rPr>
              <w:br/>
              <w:t xml:space="preserve">(Art. T2-4 </w:t>
            </w:r>
            <w:r w:rsidR="00441CFD">
              <w:rPr>
                <w:rFonts w:eastAsia="Times New Roman" w:cs="Times New Roman"/>
                <w:szCs w:val="20"/>
                <w:lang w:eastAsia="de-CH"/>
              </w:rPr>
              <w:t xml:space="preserve">Abs. 1 Ziff. 1 </w:t>
            </w:r>
            <w:r w:rsidRPr="0003455B">
              <w:rPr>
                <w:rFonts w:eastAsia="Times New Roman" w:cs="Times New Roman"/>
                <w:szCs w:val="20"/>
                <w:lang w:eastAsia="de-CH"/>
              </w:rPr>
              <w:t>GV)</w:t>
            </w:r>
          </w:p>
          <w:p w:rsidR="009C76E3" w:rsidRPr="0003455B" w:rsidRDefault="009C76E3" w:rsidP="002D0454">
            <w:pPr>
              <w:spacing w:before="120" w:after="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Hinweis: Keine Neubewertung!</w:t>
            </w:r>
          </w:p>
        </w:tc>
        <w:tc>
          <w:tcPr>
            <w:tcW w:w="3714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587303264"/>
            <w:placeholder>
              <w:docPart w:val="E7432409A39C46A6A4318105ECB2BA94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075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2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29.1.3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 w:rsidRPr="0003455B">
              <w:t>Stimmt die Eröffnungsbilanz per 1. Januar unter Berücksichtigung vorgenommener und dokumentierter Neubewertungen, allfälliger Umgliederungen, Zusammenzug oder Splittung von bisherigen Konten mit der Schlussbilanz HRM</w:t>
            </w:r>
            <w:r>
              <w:t>1</w:t>
            </w:r>
            <w:r w:rsidRPr="0003455B">
              <w:t xml:space="preserve"> per 31. Dezember überein?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1383778288"/>
            <w:placeholder>
              <w:docPart w:val="E955E034FE0D497C96D238B1D9930003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29.1.4</w:t>
            </w:r>
          </w:p>
        </w:tc>
        <w:tc>
          <w:tcPr>
            <w:tcW w:w="3378" w:type="dxa"/>
          </w:tcPr>
          <w:p w:rsidR="009C76E3" w:rsidRDefault="009C76E3" w:rsidP="002D0454">
            <w:pPr>
              <w:tabs>
                <w:tab w:val="left" w:pos="3686"/>
                <w:tab w:val="left" w:pos="3970"/>
                <w:tab w:val="left" w:pos="5812"/>
              </w:tabs>
              <w:spacing w:before="120" w:after="120"/>
              <w:rPr>
                <w:rFonts w:eastAsia="Times New Roman" w:cs="Times New Roman"/>
                <w:szCs w:val="20"/>
                <w:lang w:eastAsia="de-CH"/>
              </w:rPr>
            </w:pPr>
            <w:r w:rsidRPr="0003455B">
              <w:rPr>
                <w:rFonts w:eastAsia="Times New Roman" w:cs="Times New Roman"/>
                <w:szCs w:val="20"/>
                <w:lang w:eastAsia="de-CH"/>
              </w:rPr>
              <w:t xml:space="preserve">Wurde die Neubewertung des FV nach den Bestimmungen von </w:t>
            </w:r>
            <w:r>
              <w:rPr>
                <w:rFonts w:eastAsia="Times New Roman" w:cs="Times New Roman"/>
                <w:szCs w:val="20"/>
                <w:lang w:eastAsia="de-CH"/>
              </w:rPr>
              <w:t>Art. T2-</w:t>
            </w:r>
            <w:r w:rsidR="00441CFD">
              <w:rPr>
                <w:rFonts w:eastAsia="Times New Roman" w:cs="Times New Roman"/>
                <w:szCs w:val="20"/>
                <w:lang w:eastAsia="de-CH"/>
              </w:rPr>
              <w:t>3</w:t>
            </w:r>
            <w:r>
              <w:rPr>
                <w:rFonts w:eastAsia="Times New Roman" w:cs="Times New Roman"/>
                <w:szCs w:val="20"/>
                <w:lang w:eastAsia="de-CH"/>
              </w:rPr>
              <w:t xml:space="preserve"> GV </w:t>
            </w:r>
            <w:r w:rsidRPr="0003455B">
              <w:rPr>
                <w:rFonts w:eastAsia="Times New Roman" w:cs="Times New Roman"/>
                <w:szCs w:val="20"/>
                <w:lang w:eastAsia="de-CH"/>
              </w:rPr>
              <w:t>vorgenommen und der Gewinn per Einführungszeitpunkt von HRM2 in die N</w:t>
            </w:r>
            <w:r>
              <w:rPr>
                <w:rFonts w:eastAsia="Times New Roman" w:cs="Times New Roman"/>
                <w:szCs w:val="20"/>
                <w:lang w:eastAsia="de-CH"/>
              </w:rPr>
              <w:t>eubewertungsreserve eingelegt?</w:t>
            </w:r>
          </w:p>
          <w:p w:rsidR="009C76E3" w:rsidRPr="0003455B" w:rsidRDefault="009C76E3" w:rsidP="002D0454">
            <w:pPr>
              <w:tabs>
                <w:tab w:val="left" w:pos="3686"/>
                <w:tab w:val="left" w:pos="3970"/>
                <w:tab w:val="left" w:pos="5812"/>
              </w:tabs>
              <w:spacing w:before="120" w:after="120"/>
              <w:rPr>
                <w:rFonts w:eastAsia="Times New Roman" w:cs="Times New Roman"/>
                <w:szCs w:val="20"/>
                <w:lang w:eastAsia="de-CH"/>
              </w:rPr>
            </w:pPr>
            <w:r w:rsidRPr="0003455B">
              <w:rPr>
                <w:rFonts w:eastAsia="Times New Roman" w:cs="Times New Roman"/>
                <w:szCs w:val="20"/>
                <w:lang w:eastAsia="de-CH"/>
              </w:rPr>
              <w:t>Hinweis: Steuerpflichtige Körperschaften haben die Steuergesetzgebung zu beachten!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1378751159"/>
            <w:placeholder>
              <w:docPart w:val="021C8C3F0B0E43C9B0C168B7A01ABF3D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9C76E3" w:rsidRPr="003B652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lastRenderedPageBreak/>
              <w:t>29.1.5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>
              <w:t xml:space="preserve">Wurde die </w:t>
            </w:r>
            <w:r w:rsidRPr="0003455B">
              <w:t xml:space="preserve"> Berechnung der Einlage in die Neubewertungsreserve dokumentiert?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1354459516"/>
            <w:placeholder>
              <w:docPart w:val="23E10A88042441E287CBA292BD446405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9C76E3" w:rsidRPr="003B652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29.1.6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>
              <w:rPr>
                <w:rFonts w:eastAsia="Times New Roman" w:cs="Times New Roman"/>
                <w:szCs w:val="20"/>
                <w:lang w:eastAsia="de-CH"/>
              </w:rPr>
              <w:t>Wurden die angewendeten Grundsätze der Bilanzierung und Bewertung im Anhang zur Jahresrechnung offengelegt</w:t>
            </w:r>
            <w:r w:rsidRPr="0003455B">
              <w:rPr>
                <w:rFonts w:eastAsia="Times New Roman" w:cs="Times New Roman"/>
                <w:szCs w:val="20"/>
                <w:lang w:eastAsia="de-CH"/>
              </w:rPr>
              <w:t xml:space="preserve">? </w:t>
            </w:r>
            <w:r w:rsidRPr="007C56A8">
              <w:rPr>
                <w:rFonts w:eastAsia="Times New Roman" w:cs="Times New Roman"/>
                <w:szCs w:val="20"/>
                <w:lang w:eastAsia="de-CH"/>
              </w:rPr>
              <w:t>(Art. 32d FHDV</w:t>
            </w:r>
            <w:r w:rsidRPr="0003455B">
              <w:rPr>
                <w:rFonts w:eastAsia="Times New Roman" w:cs="Times New Roman"/>
                <w:szCs w:val="20"/>
                <w:lang w:eastAsia="de-CH"/>
              </w:rPr>
              <w:t>)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/>
              <w:rPr>
                <w:rFonts w:eastAsia="Times New Roman" w:cs="Times New Roman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1217475372"/>
            <w:placeholder>
              <w:docPart w:val="F5CFC73A689D495C958A0C0BAD2FE658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9C76E3" w:rsidRPr="003B652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29.1.7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>
              <w:t xml:space="preserve">Passt die Zuteilung der Bilanzwerte in Finanzvermögen / Verwaltungs-vermögen entsprechend den Gemeindeaufgaben? 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1442605292"/>
            <w:placeholder>
              <w:docPart w:val="CBF4FB190AE94541B41267715DFFBCA1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2"/>
          <w:wAfter w:w="122" w:type="dxa"/>
          <w:cantSplit/>
        </w:trPr>
        <w:tc>
          <w:tcPr>
            <w:tcW w:w="864" w:type="dxa"/>
            <w:gridSpan w:val="2"/>
          </w:tcPr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29.1.8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0" w:line="240" w:lineRule="auto"/>
            </w:pPr>
            <w:r w:rsidRPr="0003455B">
              <w:t>Liegen für Umgliederungen von VV ins FV oder umgekehrt die nötigen Beschlüsse des finanzkompetenten Organs vor? (Art. 104 GV)</w:t>
            </w:r>
          </w:p>
        </w:tc>
        <w:tc>
          <w:tcPr>
            <w:tcW w:w="3714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/>
              <w:rPr>
                <w:rFonts w:eastAsia="Times New Roman" w:cs="Times New Roman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943688690"/>
            <w:placeholder>
              <w:docPart w:val="B15F4BA2A94845B7878DC26D4368F07B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075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2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shd w:val="clear" w:color="00FF00" w:fill="auto"/>
          </w:tcPr>
          <w:p w:rsidR="009C76E3" w:rsidRPr="003B652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29.1.9</w:t>
            </w:r>
          </w:p>
        </w:tc>
        <w:tc>
          <w:tcPr>
            <w:tcW w:w="3378" w:type="dxa"/>
          </w:tcPr>
          <w:p w:rsidR="009C76E3" w:rsidRDefault="009C76E3" w:rsidP="002D0454">
            <w:pPr>
              <w:spacing w:before="120" w:after="120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Wurden die HRM1 Begriffe in der Jahresrechnung durch die HRM2 Begriffe ersetzt?</w:t>
            </w:r>
          </w:p>
          <w:p w:rsidR="009C76E3" w:rsidRPr="0003455B" w:rsidRDefault="009C76E3" w:rsidP="002D0454">
            <w:pPr>
              <w:spacing w:before="120" w:after="120"/>
            </w:pPr>
            <w:r>
              <w:rPr>
                <w:rFonts w:eastAsia="Times New Roman" w:cs="Times New Roman"/>
                <w:szCs w:val="20"/>
                <w:lang w:eastAsia="de-CH"/>
              </w:rPr>
              <w:t>Hinweis: Bestandesrechnung wird zur Bilanz, Laufende Rechnung zur Erfolgsrechnung, Voranschlag zum Budget, Vorbericht zur Berichterstattung.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/>
              <w:rPr>
                <w:rFonts w:eastAsia="Times New Roman" w:cs="Times New Roman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2128894629"/>
            <w:placeholder>
              <w:docPart w:val="CCC90736DC084570ABAB79AD6093318B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2"/>
          <w:wAfter w:w="122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</w:tcPr>
          <w:p w:rsidR="009C76E3" w:rsidRPr="003B652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 w:rsidRPr="003B6523">
              <w:rPr>
                <w:rFonts w:eastAsia="Times New Roman" w:cs="Times New Roman"/>
                <w:szCs w:val="20"/>
                <w:lang w:eastAsia="de-CH"/>
              </w:rPr>
              <w:t>29.1.</w:t>
            </w:r>
            <w:r>
              <w:rPr>
                <w:rFonts w:eastAsia="Times New Roman" w:cs="Times New Roman"/>
                <w:szCs w:val="20"/>
                <w:lang w:eastAsia="de-CH"/>
              </w:rPr>
              <w:t>10</w:t>
            </w:r>
          </w:p>
        </w:tc>
        <w:tc>
          <w:tcPr>
            <w:tcW w:w="3378" w:type="dxa"/>
          </w:tcPr>
          <w:p w:rsidR="009C76E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 w:rsidRPr="0003455B">
              <w:rPr>
                <w:rFonts w:eastAsia="Times New Roman" w:cs="Times New Roman"/>
                <w:szCs w:val="20"/>
                <w:lang w:eastAsia="de-CH"/>
              </w:rPr>
              <w:t xml:space="preserve">Werden die Bestände des bestehenden VV zwingend in den Bilanzkonten 14099.0 (Allgemeiner Haushalt), 14099.1 (Wasser) und 14099.2 (Abwasser) geführt? </w:t>
            </w:r>
          </w:p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 xml:space="preserve">Hinweis: </w:t>
            </w:r>
            <w:r w:rsidRPr="0003455B">
              <w:rPr>
                <w:rFonts w:eastAsia="Times New Roman" w:cs="Times New Roman"/>
                <w:szCs w:val="20"/>
                <w:lang w:eastAsia="de-CH"/>
              </w:rPr>
              <w:t>Eine weitergehende Unterteilung ist fakultativ.</w:t>
            </w:r>
          </w:p>
        </w:tc>
        <w:tc>
          <w:tcPr>
            <w:tcW w:w="3714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2000796959"/>
            <w:placeholder>
              <w:docPart w:val="E8F50F86283E46978B401182BBA1D15E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075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2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2"/>
          <w:wAfter w:w="122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</w:tcPr>
          <w:p w:rsidR="009C76E3" w:rsidRPr="003B652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 w:rsidRPr="003B6523">
              <w:rPr>
                <w:rFonts w:eastAsia="Times New Roman" w:cs="Times New Roman"/>
                <w:szCs w:val="20"/>
                <w:lang w:eastAsia="de-CH"/>
              </w:rPr>
              <w:t>29.1.</w:t>
            </w:r>
            <w:r>
              <w:rPr>
                <w:rFonts w:eastAsia="Times New Roman" w:cs="Times New Roman"/>
                <w:szCs w:val="20"/>
                <w:lang w:eastAsia="de-CH"/>
              </w:rPr>
              <w:t>11</w:t>
            </w:r>
          </w:p>
        </w:tc>
        <w:tc>
          <w:tcPr>
            <w:tcW w:w="3378" w:type="dxa"/>
          </w:tcPr>
          <w:p w:rsidR="009C76E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 w:rsidRPr="0003455B">
              <w:rPr>
                <w:rFonts w:eastAsia="Times New Roman" w:cs="Times New Roman"/>
                <w:szCs w:val="20"/>
                <w:lang w:eastAsia="de-CH"/>
              </w:rPr>
              <w:t xml:space="preserve">Werden die kumulierten Abschreibungen </w:t>
            </w:r>
            <w:r w:rsidR="00441CFD">
              <w:rPr>
                <w:rFonts w:eastAsia="Times New Roman" w:cs="Times New Roman"/>
                <w:szCs w:val="20"/>
                <w:lang w:eastAsia="de-CH"/>
              </w:rPr>
              <w:t xml:space="preserve">des bestehenden Verwaltungsvermögens </w:t>
            </w:r>
            <w:r w:rsidRPr="0003455B">
              <w:rPr>
                <w:rFonts w:eastAsia="Times New Roman" w:cs="Times New Roman"/>
                <w:szCs w:val="20"/>
                <w:lang w:eastAsia="de-CH"/>
              </w:rPr>
              <w:t xml:space="preserve">zwingend in den Bilanzkonten (Wertberichtigungen) 14099.99 (Allgemeiner Haushalt), 14099.91 (Wasser) und 14099.92 (Abwasser) geführt? </w:t>
            </w:r>
          </w:p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 xml:space="preserve">Hinweis: </w:t>
            </w:r>
            <w:r w:rsidRPr="0003455B">
              <w:rPr>
                <w:rFonts w:eastAsia="Times New Roman" w:cs="Times New Roman"/>
                <w:szCs w:val="20"/>
                <w:lang w:eastAsia="de-CH"/>
              </w:rPr>
              <w:t>Eine weitergehende Unterteilung ist fakultativ.</w:t>
            </w:r>
          </w:p>
        </w:tc>
        <w:tc>
          <w:tcPr>
            <w:tcW w:w="3714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1214728828"/>
            <w:placeholder>
              <w:docPart w:val="1D53063B659947D3919721FEB0EC6BC2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075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2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shd w:val="clear" w:color="00FF00" w:fill="auto"/>
          </w:tcPr>
          <w:p w:rsidR="009C76E3" w:rsidRPr="003B652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lastRenderedPageBreak/>
              <w:t>29.1.12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>
              <w:t xml:space="preserve">Ist die Kontierung der Spezialfinanzierungen und der Spezialfinanzierungen mit Vorfinanzierungscharakter (inkl. Werterhalt) korrekt erfolgt (SG 290/293)? 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1276439188"/>
            <w:placeholder>
              <w:docPart w:val="76BD21FD1D6144A387BAE2F52EA08D91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shd w:val="clear" w:color="00FF00" w:fill="auto"/>
          </w:tcPr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 w:rsidRPr="0003455B">
              <w:rPr>
                <w:rFonts w:eastAsia="Times New Roman" w:cs="Times New Roman"/>
                <w:szCs w:val="20"/>
                <w:lang w:eastAsia="de-CH"/>
              </w:rPr>
              <w:t>29.1.</w:t>
            </w:r>
            <w:r>
              <w:rPr>
                <w:rFonts w:eastAsia="Times New Roman" w:cs="Times New Roman"/>
                <w:szCs w:val="20"/>
                <w:lang w:eastAsia="de-CH"/>
              </w:rPr>
              <w:t>13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>
              <w:t>Stimmt die</w:t>
            </w:r>
            <w:r w:rsidRPr="0003455B">
              <w:t xml:space="preserve"> Anlagenbuchhaltung mit früheren Inventaren und Verzeichnissen</w:t>
            </w:r>
            <w:r>
              <w:t xml:space="preserve"> überein</w:t>
            </w:r>
            <w:r w:rsidRPr="0003455B">
              <w:t>?</w:t>
            </w:r>
          </w:p>
          <w:p w:rsidR="009C76E3" w:rsidRPr="0003455B" w:rsidRDefault="009C76E3" w:rsidP="002D0454">
            <w:pPr>
              <w:spacing w:before="120" w:after="120"/>
            </w:pPr>
            <w:r w:rsidRPr="0003455B">
              <w:t xml:space="preserve">Hinweis: Finanzanlagen des FV und das bestehende VV müssen nicht in die Anlagenbuchhaltung aufgenommen werden. </w:t>
            </w:r>
            <w:r>
              <w:t xml:space="preserve">Sofern </w:t>
            </w:r>
            <w:r w:rsidRPr="0003455B">
              <w:t>aufgenommen, ist eine einmalige Prüfung nötig.</w:t>
            </w:r>
            <w:r>
              <w:br w:type="textWrapping" w:clear="all"/>
              <w:t>Es wird empfohlen bestehende Darlehen und Beteiligungen VV in die Anlagenbuchhaltung aufzunehmen.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1614355762"/>
            <w:placeholder>
              <w:docPart w:val="251FC31FB5854370BC8247C1FD381964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29.1.14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 w:rsidRPr="0003455B">
              <w:t>Sind die Einträge in der A</w:t>
            </w:r>
            <w:r>
              <w:t>nlagen-buchhaltung</w:t>
            </w:r>
            <w:r w:rsidRPr="0003455B">
              <w:t xml:space="preserve"> nachvollziehbar?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577210546"/>
            <w:placeholder>
              <w:docPart w:val="FE7E801058B2483FB8CDBF7BBCA74543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29.1.15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 w:rsidRPr="0003455B">
              <w:t>Liegt das Protokoll der Gemeindeversammlung (evtl. Parlament) zum Beschluss bezüglich Abschreibungsdauer des bestehenden VV vor</w:t>
            </w:r>
            <w:r>
              <w:t>?</w:t>
            </w:r>
            <w:r w:rsidRPr="0003455B">
              <w:t xml:space="preserve"> (Art. T2-4 </w:t>
            </w:r>
            <w:r w:rsidR="00441CFD">
              <w:t>Abs. 1 Ziff. 4</w:t>
            </w:r>
            <w:r w:rsidR="00441CFD" w:rsidRPr="0003455B">
              <w:t xml:space="preserve"> </w:t>
            </w:r>
            <w:r w:rsidRPr="0003455B">
              <w:t xml:space="preserve">GV) 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1506019041"/>
            <w:placeholder>
              <w:docPart w:val="53C1D1A678D14BD396995D579721C047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tcBorders>
              <w:left w:val="single" w:sz="18" w:space="0" w:color="auto"/>
            </w:tcBorders>
            <w:shd w:val="clear" w:color="00FF00" w:fill="auto"/>
          </w:tcPr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29.1.16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 w:rsidRPr="0003455B">
              <w:t xml:space="preserve">Liegt ein Beschluss der Exekutive (Gemeinderat) über die Festlegung der </w:t>
            </w:r>
            <w:r>
              <w:t>Aktivierungsgrenzen vor (falls a</w:t>
            </w:r>
            <w:r w:rsidRPr="0003455B">
              <w:t>bweichend von Art. 79a GV)?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1795594414"/>
            <w:placeholder>
              <w:docPart w:val="F4B9376A0BA647938072B1F81038A2C5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shd w:val="clear" w:color="00FF00" w:fill="auto"/>
          </w:tcPr>
          <w:p w:rsidR="009C76E3" w:rsidRPr="003B652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t>29.1.17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 w:rsidRPr="0003455B">
              <w:t xml:space="preserve">Sind die Übergangsbestimmungen gemäss Art. T2-4 </w:t>
            </w:r>
            <w:r w:rsidR="00441CFD">
              <w:t xml:space="preserve">Abs. 2 Ziff. 1a </w:t>
            </w:r>
            <w:r w:rsidRPr="0003455B">
              <w:t>GV eingehalten, wonach beim Eintreten eines negativen Bestandes der Spezialfinanzierung (aufgrund gleichzeitig vorzunehmenden Abschreibungen auf bestehendem VV und Neuinvestitionen) der Abschreibungsbetrag auf dem bestehenden VV vermindert wird?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660697590"/>
            <w:placeholder>
              <w:docPart w:val="FE5D96FE4B8341EEA9D81F06F0791DCF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Pr="0003455B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 w:line="240" w:lineRule="auto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  <w:tr w:rsidR="009C76E3" w:rsidRPr="0003455B" w:rsidTr="002D0454">
        <w:trPr>
          <w:gridAfter w:val="1"/>
          <w:wAfter w:w="57" w:type="dxa"/>
          <w:cantSplit/>
        </w:trPr>
        <w:tc>
          <w:tcPr>
            <w:tcW w:w="864" w:type="dxa"/>
            <w:gridSpan w:val="2"/>
            <w:shd w:val="clear" w:color="00FF00" w:fill="auto"/>
          </w:tcPr>
          <w:p w:rsidR="009C76E3" w:rsidRPr="003B6523" w:rsidRDefault="009C76E3" w:rsidP="002D0454">
            <w:pPr>
              <w:spacing w:before="120" w:after="120" w:line="240" w:lineRule="auto"/>
              <w:rPr>
                <w:rFonts w:eastAsia="Times New Roman" w:cs="Times New Roman"/>
                <w:szCs w:val="20"/>
                <w:lang w:eastAsia="de-CH"/>
              </w:rPr>
            </w:pPr>
            <w:r>
              <w:rPr>
                <w:rFonts w:eastAsia="Times New Roman" w:cs="Times New Roman"/>
                <w:szCs w:val="20"/>
                <w:lang w:eastAsia="de-CH"/>
              </w:rPr>
              <w:lastRenderedPageBreak/>
              <w:t>29.1.18</w:t>
            </w:r>
          </w:p>
        </w:tc>
        <w:tc>
          <w:tcPr>
            <w:tcW w:w="3378" w:type="dxa"/>
          </w:tcPr>
          <w:p w:rsidR="009C76E3" w:rsidRPr="0003455B" w:rsidRDefault="009C76E3" w:rsidP="002D0454">
            <w:pPr>
              <w:spacing w:before="120" w:after="120"/>
            </w:pPr>
            <w:r>
              <w:rPr>
                <w:rFonts w:eastAsia="Times New Roman" w:cs="Times New Roman"/>
                <w:szCs w:val="20"/>
                <w:lang w:eastAsia="de-CH"/>
              </w:rPr>
              <w:t>Gibt es eine plausible Rechtfertigung für die bestehenden Rückstellungen?</w:t>
            </w:r>
          </w:p>
        </w:tc>
        <w:tc>
          <w:tcPr>
            <w:tcW w:w="3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3532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/>
              <w:rPr>
                <w:rFonts w:eastAsia="Times New Roman" w:cs="Times New Roman"/>
                <w:szCs w:val="20"/>
                <w:lang w:eastAsia="de-CH"/>
              </w:rPr>
            </w:pPr>
          </w:p>
        </w:tc>
        <w:sdt>
          <w:sdtPr>
            <w:rPr>
              <w:rFonts w:eastAsia="Times New Roman" w:cs="Times New Roman"/>
              <w:sz w:val="16"/>
              <w:szCs w:val="20"/>
              <w:lang w:eastAsia="de-CH"/>
            </w:rPr>
            <w:id w:val="-1249036172"/>
            <w:placeholder>
              <w:docPart w:val="1F2B41A72EE94260B2BE38D9B6F85DDA"/>
            </w:placeholder>
            <w:dropDownList>
              <w:listItem w:displayText="-" w:value="-"/>
              <w:listItem w:displayText="i.O." w:value="i.O."/>
              <w:listItem w:displayText="nicht i.O." w:value="nicht i.O."/>
              <w:listItem w:displayText="ja" w:value="ja"/>
              <w:listItem w:displayText="nein" w:value="nein"/>
              <w:listItem w:displayText="n/a" w:value="n/a"/>
            </w:dropDownList>
          </w:sdtPr>
          <w:sdtEndPr/>
          <w:sdtContent>
            <w:tc>
              <w:tcPr>
                <w:tcW w:w="1127" w:type="dxa"/>
                <w:gridSpan w:val="2"/>
              </w:tcPr>
              <w:p w:rsidR="009C76E3" w:rsidRDefault="009C76E3" w:rsidP="002D0454">
                <w:pPr>
                  <w:spacing w:before="120" w:after="120" w:line="240" w:lineRule="auto"/>
                  <w:jc w:val="center"/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</w:pPr>
                <w:r w:rsidRPr="0003455B">
                  <w:rPr>
                    <w:rFonts w:eastAsia="Times New Roman" w:cs="Times New Roman"/>
                    <w:sz w:val="16"/>
                    <w:szCs w:val="20"/>
                    <w:lang w:eastAsia="de-CH"/>
                  </w:rPr>
                  <w:t>-</w:t>
                </w:r>
              </w:p>
            </w:tc>
          </w:sdtContent>
        </w:sdt>
        <w:tc>
          <w:tcPr>
            <w:tcW w:w="1295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  <w:tr w:rsidR="009C76E3" w:rsidRPr="0003455B" w:rsidTr="002D0454">
              <w:trPr>
                <w:trHeight w:hRule="exact" w:val="397"/>
              </w:trPr>
              <w:tc>
                <w:tcPr>
                  <w:tcW w:w="1154" w:type="dxa"/>
                </w:tcPr>
                <w:p w:rsidR="009C76E3" w:rsidRPr="0003455B" w:rsidRDefault="009C76E3" w:rsidP="002D0454">
                  <w:pPr>
                    <w:spacing w:before="120" w:after="120"/>
                    <w:rPr>
                      <w:rFonts w:eastAsia="Times New Roman" w:cs="Times New Roman"/>
                      <w:sz w:val="21"/>
                      <w:szCs w:val="20"/>
                      <w:lang w:eastAsia="de-CH"/>
                    </w:rPr>
                  </w:pPr>
                </w:p>
              </w:tc>
            </w:tr>
          </w:tbl>
          <w:p w:rsidR="009C76E3" w:rsidRPr="0003455B" w:rsidRDefault="009C76E3" w:rsidP="002D0454">
            <w:pPr>
              <w:spacing w:before="120" w:after="120"/>
              <w:rPr>
                <w:rFonts w:eastAsia="Times New Roman" w:cs="Times New Roman"/>
                <w:sz w:val="21"/>
                <w:szCs w:val="20"/>
                <w:lang w:eastAsia="de-CH"/>
              </w:rPr>
            </w:pPr>
          </w:p>
        </w:tc>
      </w:tr>
    </w:tbl>
    <w:p w:rsidR="0002233A" w:rsidRDefault="0002233A"/>
    <w:sectPr w:rsidR="0002233A" w:rsidSect="00F91A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70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E3" w:rsidRDefault="009C76E3" w:rsidP="009C76E3">
      <w:pPr>
        <w:spacing w:after="0" w:line="240" w:lineRule="auto"/>
      </w:pPr>
      <w:r>
        <w:separator/>
      </w:r>
    </w:p>
  </w:endnote>
  <w:endnote w:type="continuationSeparator" w:id="0">
    <w:p w:rsidR="009C76E3" w:rsidRDefault="009C76E3" w:rsidP="009C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AB" w:rsidRDefault="00F91AAB" w:rsidP="00F91AAB">
    <w:pPr>
      <w:pStyle w:val="Fuzeile"/>
      <w:tabs>
        <w:tab w:val="right" w:pos="9781"/>
      </w:tabs>
      <w:ind w:left="-567"/>
      <w:rPr>
        <w:sz w:val="18"/>
      </w:rPr>
    </w:pPr>
    <w:r w:rsidRPr="00E54015">
      <w:rPr>
        <w:b/>
        <w:sz w:val="16"/>
      </w:rPr>
      <w:t>*</w:t>
    </w:r>
    <w:r>
      <w:rPr>
        <w:b/>
        <w:sz w:val="16"/>
      </w:rPr>
      <w:t xml:space="preserve"> Auswahl:</w:t>
    </w:r>
    <w:r>
      <w:rPr>
        <w:sz w:val="16"/>
      </w:rPr>
      <w:t xml:space="preserve"> i.O., nicht i.O., ja, nein, n/a</w:t>
    </w:r>
  </w:p>
  <w:p w:rsidR="00F91AAB" w:rsidRDefault="00F91AAB" w:rsidP="00F91AAB">
    <w:pPr>
      <w:pStyle w:val="Fuzeile"/>
      <w:tabs>
        <w:tab w:val="right" w:pos="9781"/>
      </w:tabs>
      <w:ind w:left="-567"/>
      <w:rPr>
        <w:sz w:val="18"/>
      </w:rPr>
    </w:pPr>
  </w:p>
  <w:p w:rsidR="00F91AAB" w:rsidRPr="00F91AAB" w:rsidRDefault="00F91AAB" w:rsidP="00F91AAB">
    <w:pPr>
      <w:pStyle w:val="Fuzeile"/>
      <w:tabs>
        <w:tab w:val="right" w:pos="9781"/>
      </w:tabs>
      <w:ind w:left="-567"/>
      <w:rPr>
        <w:sz w:val="18"/>
      </w:rPr>
    </w:pPr>
    <w:r>
      <w:rPr>
        <w:sz w:val="18"/>
      </w:rPr>
      <w:t>Arbeitshilfe für Rechnungsprüfungsorgane (Ausgabe 2016)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3416BC"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6E3" w:rsidRDefault="009C76E3" w:rsidP="009C76E3">
    <w:pPr>
      <w:pStyle w:val="Fuzeile"/>
      <w:tabs>
        <w:tab w:val="right" w:pos="9781"/>
      </w:tabs>
      <w:ind w:left="-567"/>
      <w:rPr>
        <w:sz w:val="18"/>
      </w:rPr>
    </w:pPr>
    <w:r w:rsidRPr="00E54015">
      <w:rPr>
        <w:b/>
        <w:sz w:val="16"/>
      </w:rPr>
      <w:t>*</w:t>
    </w:r>
    <w:r>
      <w:rPr>
        <w:b/>
        <w:sz w:val="16"/>
      </w:rPr>
      <w:t xml:space="preserve"> Auswahl:</w:t>
    </w:r>
    <w:r>
      <w:rPr>
        <w:sz w:val="16"/>
      </w:rPr>
      <w:t xml:space="preserve"> i.O., nicht i.O., ja, nein, n/a</w:t>
    </w:r>
  </w:p>
  <w:p w:rsidR="009C76E3" w:rsidRDefault="009C76E3" w:rsidP="009C76E3">
    <w:pPr>
      <w:pStyle w:val="Fuzeile"/>
      <w:tabs>
        <w:tab w:val="right" w:pos="9781"/>
      </w:tabs>
      <w:ind w:left="-567"/>
      <w:rPr>
        <w:sz w:val="18"/>
      </w:rPr>
    </w:pPr>
  </w:p>
  <w:p w:rsidR="009C76E3" w:rsidRPr="009C76E3" w:rsidRDefault="009C76E3" w:rsidP="009C76E3">
    <w:pPr>
      <w:pStyle w:val="Fuzeile"/>
      <w:tabs>
        <w:tab w:val="right" w:pos="9781"/>
      </w:tabs>
      <w:ind w:left="-567"/>
      <w:rPr>
        <w:sz w:val="18"/>
      </w:rPr>
    </w:pPr>
    <w:r>
      <w:rPr>
        <w:sz w:val="18"/>
      </w:rPr>
      <w:t>Arbeitshilfe für Rechnungsprüfungsorgane (Ausgabe 2016)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F91AAB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E3" w:rsidRDefault="009C76E3" w:rsidP="009C76E3">
      <w:pPr>
        <w:spacing w:after="0" w:line="240" w:lineRule="auto"/>
      </w:pPr>
      <w:r>
        <w:separator/>
      </w:r>
    </w:p>
  </w:footnote>
  <w:footnote w:type="continuationSeparator" w:id="0">
    <w:p w:rsidR="009C76E3" w:rsidRDefault="009C76E3" w:rsidP="009C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1" w:type="dxa"/>
      <w:tblInd w:w="-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6"/>
      <w:gridCol w:w="3685"/>
      <w:gridCol w:w="1134"/>
      <w:gridCol w:w="1276"/>
    </w:tblGrid>
    <w:tr w:rsidR="008F5A20" w:rsidRPr="0003455B" w:rsidTr="002D0454">
      <w:trPr>
        <w:cantSplit/>
        <w:trHeight w:val="1182"/>
      </w:trPr>
      <w:tc>
        <w:tcPr>
          <w:tcW w:w="4246" w:type="dxa"/>
        </w:tcPr>
        <w:p w:rsidR="008F5A20" w:rsidRPr="00B75D03" w:rsidRDefault="008F5A20" w:rsidP="002D0454">
          <w:pPr>
            <w:spacing w:before="120" w:after="120" w:line="240" w:lineRule="auto"/>
            <w:rPr>
              <w:rFonts w:eastAsia="Times New Roman" w:cs="Times New Roman"/>
              <w:b/>
              <w:sz w:val="24"/>
              <w:szCs w:val="24"/>
              <w:lang w:eastAsia="de-CH"/>
            </w:rPr>
          </w:pPr>
          <w:r w:rsidRPr="00B75D03">
            <w:rPr>
              <w:rFonts w:eastAsia="Times New Roman" w:cs="Times New Roman"/>
              <w:b/>
              <w:sz w:val="24"/>
              <w:szCs w:val="24"/>
              <w:lang w:eastAsia="de-CH"/>
            </w:rPr>
            <w:t>Prüfungshandlungen HRM2</w:t>
          </w:r>
        </w:p>
      </w:tc>
      <w:tc>
        <w:tcPr>
          <w:tcW w:w="3685" w:type="dxa"/>
        </w:tcPr>
        <w:tbl>
          <w:tblPr>
            <w:tblStyle w:val="Tabellenraster"/>
            <w:tblW w:w="1738" w:type="dxa"/>
            <w:tblInd w:w="19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738"/>
          </w:tblGrid>
          <w:tr w:rsidR="008F5A20" w:rsidRPr="0003455B" w:rsidTr="002D0454">
            <w:trPr>
              <w:trHeight w:hRule="exact" w:val="414"/>
            </w:trPr>
            <w:tc>
              <w:tcPr>
                <w:tcW w:w="1738" w:type="dxa"/>
              </w:tcPr>
              <w:p w:rsidR="008F5A20" w:rsidRPr="0003455B" w:rsidRDefault="008F5A20" w:rsidP="002D0454">
                <w:pPr>
                  <w:spacing w:before="120" w:after="120"/>
                  <w:rPr>
                    <w:rFonts w:eastAsia="Times New Roman" w:cs="Times New Roman"/>
                    <w:szCs w:val="20"/>
                    <w:lang w:eastAsia="de-CH"/>
                  </w:rPr>
                </w:pPr>
                <w:r>
                  <w:rPr>
                    <w:rFonts w:eastAsia="Times New Roman" w:cs="Times New Roman"/>
                    <w:szCs w:val="20"/>
                    <w:lang w:eastAsia="de-CH"/>
                  </w:rPr>
                  <w:t>Rechnungsjahr</w:t>
                </w:r>
              </w:p>
            </w:tc>
          </w:tr>
          <w:tr w:rsidR="008F5A20" w:rsidRPr="0003455B" w:rsidTr="002D0454">
            <w:trPr>
              <w:trHeight w:hRule="exact" w:val="414"/>
            </w:trPr>
            <w:tc>
              <w:tcPr>
                <w:tcW w:w="1738" w:type="dxa"/>
              </w:tcPr>
              <w:p w:rsidR="008F5A20" w:rsidRPr="0003455B" w:rsidRDefault="008F5A20" w:rsidP="002D0454">
                <w:pPr>
                  <w:spacing w:before="120" w:after="120"/>
                  <w:rPr>
                    <w:rFonts w:eastAsia="Times New Roman" w:cs="Times New Roman"/>
                    <w:szCs w:val="20"/>
                    <w:lang w:eastAsia="de-CH"/>
                  </w:rPr>
                </w:pPr>
                <w:r>
                  <w:rPr>
                    <w:rFonts w:eastAsia="Times New Roman" w:cs="Times New Roman"/>
                    <w:szCs w:val="20"/>
                    <w:lang w:eastAsia="de-CH"/>
                  </w:rPr>
                  <w:t>Datum</w:t>
                </w:r>
              </w:p>
            </w:tc>
          </w:tr>
          <w:tr w:rsidR="008F5A20" w:rsidRPr="0003455B" w:rsidTr="002D0454">
            <w:trPr>
              <w:trHeight w:hRule="exact" w:val="414"/>
            </w:trPr>
            <w:tc>
              <w:tcPr>
                <w:tcW w:w="1738" w:type="dxa"/>
              </w:tcPr>
              <w:p w:rsidR="008F5A20" w:rsidRPr="0003455B" w:rsidRDefault="008F5A20" w:rsidP="002D0454">
                <w:pPr>
                  <w:spacing w:before="120" w:after="120"/>
                  <w:rPr>
                    <w:rFonts w:eastAsia="Times New Roman" w:cs="Times New Roman"/>
                    <w:szCs w:val="20"/>
                    <w:lang w:eastAsia="de-CH"/>
                  </w:rPr>
                </w:pPr>
                <w:r>
                  <w:rPr>
                    <w:rFonts w:eastAsia="Times New Roman" w:cs="Times New Roman"/>
                    <w:szCs w:val="20"/>
                    <w:lang w:eastAsia="de-CH"/>
                  </w:rPr>
                  <w:t>Visum Prüfer/in</w:t>
                </w:r>
              </w:p>
            </w:tc>
          </w:tr>
        </w:tbl>
        <w:p w:rsidR="008F5A20" w:rsidRPr="0003455B" w:rsidRDefault="008F5A20" w:rsidP="002D0454">
          <w:pPr>
            <w:spacing w:before="120" w:after="120" w:line="240" w:lineRule="auto"/>
            <w:rPr>
              <w:rFonts w:eastAsia="Times New Roman" w:cs="Times New Roman"/>
              <w:szCs w:val="20"/>
              <w:lang w:eastAsia="de-CH"/>
            </w:rPr>
          </w:pPr>
        </w:p>
      </w:tc>
      <w:tc>
        <w:tcPr>
          <w:tcW w:w="1134" w:type="dxa"/>
        </w:tcPr>
        <w:p w:rsidR="008F5A20" w:rsidRPr="0003455B" w:rsidRDefault="008F5A20" w:rsidP="002D0454">
          <w:pPr>
            <w:spacing w:before="120" w:after="120" w:line="240" w:lineRule="auto"/>
            <w:jc w:val="center"/>
            <w:rPr>
              <w:rFonts w:eastAsia="Times New Roman" w:cs="Times New Roman"/>
              <w:sz w:val="16"/>
              <w:szCs w:val="20"/>
              <w:lang w:eastAsia="de-CH"/>
            </w:rPr>
          </w:pPr>
        </w:p>
      </w:tc>
      <w:tc>
        <w:tcPr>
          <w:tcW w:w="1276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dotted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54"/>
          </w:tblGrid>
          <w:tr w:rsidR="008F5A20" w:rsidRPr="0003455B" w:rsidTr="002D0454">
            <w:trPr>
              <w:trHeight w:hRule="exact" w:val="397"/>
            </w:trPr>
            <w:tc>
              <w:tcPr>
                <w:tcW w:w="1154" w:type="dxa"/>
              </w:tcPr>
              <w:p w:rsidR="008F5A20" w:rsidRPr="0003455B" w:rsidRDefault="008F5A20" w:rsidP="002D0454">
                <w:pPr>
                  <w:spacing w:before="120" w:after="120"/>
                  <w:rPr>
                    <w:rFonts w:eastAsia="Times New Roman" w:cs="Times New Roman"/>
                    <w:sz w:val="21"/>
                    <w:szCs w:val="20"/>
                    <w:lang w:eastAsia="de-CH"/>
                  </w:rPr>
                </w:pPr>
              </w:p>
            </w:tc>
          </w:tr>
          <w:tr w:rsidR="008F5A20" w:rsidRPr="0003455B" w:rsidTr="002D0454">
            <w:trPr>
              <w:trHeight w:hRule="exact" w:val="397"/>
            </w:trPr>
            <w:tc>
              <w:tcPr>
                <w:tcW w:w="1154" w:type="dxa"/>
                <w:tcBorders>
                  <w:bottom w:val="dotted" w:sz="4" w:space="0" w:color="auto"/>
                </w:tcBorders>
              </w:tcPr>
              <w:p w:rsidR="008F5A20" w:rsidRPr="0003455B" w:rsidRDefault="008F5A20" w:rsidP="002D0454">
                <w:pPr>
                  <w:spacing w:before="120" w:after="120"/>
                  <w:rPr>
                    <w:rFonts w:eastAsia="Times New Roman" w:cs="Times New Roman"/>
                    <w:sz w:val="21"/>
                    <w:szCs w:val="20"/>
                    <w:lang w:eastAsia="de-CH"/>
                  </w:rPr>
                </w:pPr>
              </w:p>
            </w:tc>
          </w:tr>
          <w:tr w:rsidR="008F5A20" w:rsidRPr="0003455B" w:rsidTr="002D0454">
            <w:trPr>
              <w:trHeight w:hRule="exact" w:val="397"/>
            </w:trPr>
            <w:tc>
              <w:tcPr>
                <w:tcW w:w="1154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8F5A20" w:rsidRPr="0003455B" w:rsidRDefault="008F5A20" w:rsidP="002D0454">
                <w:pPr>
                  <w:spacing w:before="120" w:after="120"/>
                  <w:rPr>
                    <w:rFonts w:eastAsia="Times New Roman" w:cs="Times New Roman"/>
                    <w:sz w:val="21"/>
                    <w:szCs w:val="20"/>
                    <w:lang w:eastAsia="de-CH"/>
                  </w:rPr>
                </w:pPr>
              </w:p>
            </w:tc>
          </w:tr>
        </w:tbl>
        <w:p w:rsidR="008F5A20" w:rsidRPr="0003455B" w:rsidRDefault="008F5A20" w:rsidP="002D0454">
          <w:pPr>
            <w:rPr>
              <w:rFonts w:eastAsia="Times New Roman" w:cs="Times New Roman"/>
              <w:sz w:val="16"/>
              <w:szCs w:val="20"/>
              <w:lang w:eastAsia="de-CH"/>
            </w:rPr>
          </w:pPr>
        </w:p>
      </w:tc>
    </w:tr>
  </w:tbl>
  <w:p w:rsidR="00F91AAB" w:rsidRDefault="00F91AA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1" w:type="dxa"/>
      <w:tblInd w:w="-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6"/>
      <w:gridCol w:w="3685"/>
      <w:gridCol w:w="1134"/>
      <w:gridCol w:w="1276"/>
    </w:tblGrid>
    <w:tr w:rsidR="009C76E3" w:rsidRPr="0003455B" w:rsidTr="002D0454">
      <w:trPr>
        <w:cantSplit/>
        <w:trHeight w:val="1182"/>
      </w:trPr>
      <w:tc>
        <w:tcPr>
          <w:tcW w:w="4246" w:type="dxa"/>
        </w:tcPr>
        <w:p w:rsidR="009C76E3" w:rsidRPr="00B75D03" w:rsidRDefault="009C76E3" w:rsidP="002D0454">
          <w:pPr>
            <w:spacing w:before="120" w:after="120" w:line="240" w:lineRule="auto"/>
            <w:rPr>
              <w:rFonts w:eastAsia="Times New Roman" w:cs="Times New Roman"/>
              <w:b/>
              <w:sz w:val="24"/>
              <w:szCs w:val="24"/>
              <w:lang w:eastAsia="de-CH"/>
            </w:rPr>
          </w:pPr>
          <w:r w:rsidRPr="00B75D03">
            <w:rPr>
              <w:rFonts w:eastAsia="Times New Roman" w:cs="Times New Roman"/>
              <w:b/>
              <w:sz w:val="24"/>
              <w:szCs w:val="24"/>
              <w:lang w:eastAsia="de-CH"/>
            </w:rPr>
            <w:t>Prüfungshandlungen HRM2</w:t>
          </w:r>
        </w:p>
      </w:tc>
      <w:tc>
        <w:tcPr>
          <w:tcW w:w="3685" w:type="dxa"/>
        </w:tcPr>
        <w:tbl>
          <w:tblPr>
            <w:tblStyle w:val="Tabellenraster"/>
            <w:tblW w:w="1738" w:type="dxa"/>
            <w:tblInd w:w="19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738"/>
          </w:tblGrid>
          <w:tr w:rsidR="009C76E3" w:rsidRPr="0003455B" w:rsidTr="002D0454">
            <w:trPr>
              <w:trHeight w:hRule="exact" w:val="414"/>
            </w:trPr>
            <w:tc>
              <w:tcPr>
                <w:tcW w:w="1738" w:type="dxa"/>
              </w:tcPr>
              <w:p w:rsidR="009C76E3" w:rsidRPr="0003455B" w:rsidRDefault="009C76E3" w:rsidP="002D0454">
                <w:pPr>
                  <w:spacing w:before="120" w:after="120"/>
                  <w:rPr>
                    <w:rFonts w:eastAsia="Times New Roman" w:cs="Times New Roman"/>
                    <w:szCs w:val="20"/>
                    <w:lang w:eastAsia="de-CH"/>
                  </w:rPr>
                </w:pPr>
                <w:r>
                  <w:rPr>
                    <w:rFonts w:eastAsia="Times New Roman" w:cs="Times New Roman"/>
                    <w:szCs w:val="20"/>
                    <w:lang w:eastAsia="de-CH"/>
                  </w:rPr>
                  <w:t>Rechnungsjahr</w:t>
                </w:r>
              </w:p>
            </w:tc>
          </w:tr>
          <w:tr w:rsidR="009C76E3" w:rsidRPr="0003455B" w:rsidTr="002D0454">
            <w:trPr>
              <w:trHeight w:hRule="exact" w:val="414"/>
            </w:trPr>
            <w:tc>
              <w:tcPr>
                <w:tcW w:w="1738" w:type="dxa"/>
              </w:tcPr>
              <w:p w:rsidR="009C76E3" w:rsidRPr="0003455B" w:rsidRDefault="009C76E3" w:rsidP="002D0454">
                <w:pPr>
                  <w:spacing w:before="120" w:after="120"/>
                  <w:rPr>
                    <w:rFonts w:eastAsia="Times New Roman" w:cs="Times New Roman"/>
                    <w:szCs w:val="20"/>
                    <w:lang w:eastAsia="de-CH"/>
                  </w:rPr>
                </w:pPr>
                <w:r>
                  <w:rPr>
                    <w:rFonts w:eastAsia="Times New Roman" w:cs="Times New Roman"/>
                    <w:szCs w:val="20"/>
                    <w:lang w:eastAsia="de-CH"/>
                  </w:rPr>
                  <w:t>Datum</w:t>
                </w:r>
              </w:p>
            </w:tc>
          </w:tr>
          <w:tr w:rsidR="009C76E3" w:rsidRPr="0003455B" w:rsidTr="002D0454">
            <w:trPr>
              <w:trHeight w:hRule="exact" w:val="414"/>
            </w:trPr>
            <w:tc>
              <w:tcPr>
                <w:tcW w:w="1738" w:type="dxa"/>
              </w:tcPr>
              <w:p w:rsidR="009C76E3" w:rsidRPr="0003455B" w:rsidRDefault="009C76E3" w:rsidP="002D0454">
                <w:pPr>
                  <w:spacing w:before="120" w:after="120"/>
                  <w:rPr>
                    <w:rFonts w:eastAsia="Times New Roman" w:cs="Times New Roman"/>
                    <w:szCs w:val="20"/>
                    <w:lang w:eastAsia="de-CH"/>
                  </w:rPr>
                </w:pPr>
                <w:r>
                  <w:rPr>
                    <w:rFonts w:eastAsia="Times New Roman" w:cs="Times New Roman"/>
                    <w:szCs w:val="20"/>
                    <w:lang w:eastAsia="de-CH"/>
                  </w:rPr>
                  <w:t>Visum Prüfer/in</w:t>
                </w:r>
              </w:p>
            </w:tc>
          </w:tr>
        </w:tbl>
        <w:p w:rsidR="009C76E3" w:rsidRPr="0003455B" w:rsidRDefault="009C76E3" w:rsidP="002D0454">
          <w:pPr>
            <w:spacing w:before="120" w:after="120" w:line="240" w:lineRule="auto"/>
            <w:rPr>
              <w:rFonts w:eastAsia="Times New Roman" w:cs="Times New Roman"/>
              <w:szCs w:val="20"/>
              <w:lang w:eastAsia="de-CH"/>
            </w:rPr>
          </w:pPr>
        </w:p>
      </w:tc>
      <w:tc>
        <w:tcPr>
          <w:tcW w:w="1134" w:type="dxa"/>
        </w:tcPr>
        <w:p w:rsidR="009C76E3" w:rsidRPr="0003455B" w:rsidRDefault="009C76E3" w:rsidP="002D0454">
          <w:pPr>
            <w:spacing w:before="120" w:after="120" w:line="240" w:lineRule="auto"/>
            <w:jc w:val="center"/>
            <w:rPr>
              <w:rFonts w:eastAsia="Times New Roman" w:cs="Times New Roman"/>
              <w:sz w:val="16"/>
              <w:szCs w:val="20"/>
              <w:lang w:eastAsia="de-CH"/>
            </w:rPr>
          </w:pPr>
        </w:p>
      </w:tc>
      <w:tc>
        <w:tcPr>
          <w:tcW w:w="1276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dotted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54"/>
          </w:tblGrid>
          <w:tr w:rsidR="009C76E3" w:rsidRPr="0003455B" w:rsidTr="002D0454">
            <w:trPr>
              <w:trHeight w:hRule="exact" w:val="397"/>
            </w:trPr>
            <w:tc>
              <w:tcPr>
                <w:tcW w:w="1154" w:type="dxa"/>
              </w:tcPr>
              <w:p w:rsidR="009C76E3" w:rsidRPr="0003455B" w:rsidRDefault="009C76E3" w:rsidP="002D0454">
                <w:pPr>
                  <w:spacing w:before="120" w:after="120"/>
                  <w:rPr>
                    <w:rFonts w:eastAsia="Times New Roman" w:cs="Times New Roman"/>
                    <w:sz w:val="21"/>
                    <w:szCs w:val="20"/>
                    <w:lang w:eastAsia="de-CH"/>
                  </w:rPr>
                </w:pPr>
              </w:p>
            </w:tc>
          </w:tr>
          <w:tr w:rsidR="009C76E3" w:rsidRPr="0003455B" w:rsidTr="002D0454">
            <w:trPr>
              <w:trHeight w:hRule="exact" w:val="397"/>
            </w:trPr>
            <w:tc>
              <w:tcPr>
                <w:tcW w:w="1154" w:type="dxa"/>
                <w:tcBorders>
                  <w:bottom w:val="dotted" w:sz="4" w:space="0" w:color="auto"/>
                </w:tcBorders>
              </w:tcPr>
              <w:p w:rsidR="009C76E3" w:rsidRPr="0003455B" w:rsidRDefault="009C76E3" w:rsidP="002D0454">
                <w:pPr>
                  <w:spacing w:before="120" w:after="120"/>
                  <w:rPr>
                    <w:rFonts w:eastAsia="Times New Roman" w:cs="Times New Roman"/>
                    <w:sz w:val="21"/>
                    <w:szCs w:val="20"/>
                    <w:lang w:eastAsia="de-CH"/>
                  </w:rPr>
                </w:pPr>
              </w:p>
            </w:tc>
          </w:tr>
          <w:tr w:rsidR="009C76E3" w:rsidRPr="0003455B" w:rsidTr="002D0454">
            <w:trPr>
              <w:trHeight w:hRule="exact" w:val="397"/>
            </w:trPr>
            <w:tc>
              <w:tcPr>
                <w:tcW w:w="1154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9C76E3" w:rsidRPr="0003455B" w:rsidRDefault="009C76E3" w:rsidP="002D0454">
                <w:pPr>
                  <w:spacing w:before="120" w:after="120"/>
                  <w:rPr>
                    <w:rFonts w:eastAsia="Times New Roman" w:cs="Times New Roman"/>
                    <w:sz w:val="21"/>
                    <w:szCs w:val="20"/>
                    <w:lang w:eastAsia="de-CH"/>
                  </w:rPr>
                </w:pPr>
              </w:p>
            </w:tc>
          </w:tr>
        </w:tbl>
        <w:p w:rsidR="009C76E3" w:rsidRPr="0003455B" w:rsidRDefault="009C76E3" w:rsidP="002D0454">
          <w:pPr>
            <w:rPr>
              <w:rFonts w:eastAsia="Times New Roman" w:cs="Times New Roman"/>
              <w:sz w:val="16"/>
              <w:szCs w:val="20"/>
              <w:lang w:eastAsia="de-CH"/>
            </w:rPr>
          </w:pPr>
        </w:p>
      </w:tc>
    </w:tr>
  </w:tbl>
  <w:p w:rsidR="009C76E3" w:rsidRDefault="009C76E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055"/>
    <w:multiLevelType w:val="hybridMultilevel"/>
    <w:tmpl w:val="109ED66E"/>
    <w:lvl w:ilvl="0" w:tplc="81B0C5A0">
      <w:start w:val="29"/>
      <w:numFmt w:val="decimal"/>
      <w:lvlText w:val="%1."/>
      <w:lvlJc w:val="left"/>
      <w:pPr>
        <w:ind w:left="-207" w:hanging="360"/>
      </w:pPr>
      <w:rPr>
        <w:rFonts w:hint="default"/>
        <w:b/>
        <w:sz w:val="44"/>
        <w:szCs w:val="4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3"/>
    <w:rsid w:val="0002233A"/>
    <w:rsid w:val="003416BC"/>
    <w:rsid w:val="00441CFD"/>
    <w:rsid w:val="0058223A"/>
    <w:rsid w:val="008F5A20"/>
    <w:rsid w:val="00971432"/>
    <w:rsid w:val="009C76E3"/>
    <w:rsid w:val="00A440B0"/>
    <w:rsid w:val="00F9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76E3"/>
    <w:pPr>
      <w:spacing w:after="160" w:line="259" w:lineRule="auto"/>
    </w:pPr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9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76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6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6E3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6E3"/>
    <w:rPr>
      <w:rFonts w:ascii="Trebuchet MS" w:hAnsi="Trebuchet M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76E3"/>
    <w:pPr>
      <w:spacing w:after="160" w:line="259" w:lineRule="auto"/>
    </w:pPr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9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76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6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6E3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6E3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B1939600464183B421E57C26740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C0ECE-FA15-42E0-BD2C-69E18F8C3350}"/>
      </w:docPartPr>
      <w:docPartBody>
        <w:p w:rsidR="00615BE4" w:rsidRDefault="00B83618" w:rsidP="00B83618">
          <w:pPr>
            <w:pStyle w:val="6CB1939600464183B421E57C26740272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E7432409A39C46A6A4318105ECB2B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D8E74-4B36-4B13-AB91-C1D0C4320CEF}"/>
      </w:docPartPr>
      <w:docPartBody>
        <w:p w:rsidR="00615BE4" w:rsidRDefault="00B83618" w:rsidP="00B83618">
          <w:pPr>
            <w:pStyle w:val="E7432409A39C46A6A4318105ECB2BA94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E955E034FE0D497C96D238B1D9930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621CA-D9C6-4B75-86E2-EA5042110C2D}"/>
      </w:docPartPr>
      <w:docPartBody>
        <w:p w:rsidR="00615BE4" w:rsidRDefault="00B83618" w:rsidP="00B83618">
          <w:pPr>
            <w:pStyle w:val="E955E034FE0D497C96D238B1D9930003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021C8C3F0B0E43C9B0C168B7A01AB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9297A-2AC4-4CE3-B976-B151B7B45887}"/>
      </w:docPartPr>
      <w:docPartBody>
        <w:p w:rsidR="00615BE4" w:rsidRDefault="00B83618" w:rsidP="00B83618">
          <w:pPr>
            <w:pStyle w:val="021C8C3F0B0E43C9B0C168B7A01ABF3D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23E10A88042441E287CBA292BD446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F1B6D-EFC6-4781-97EE-AA2E56548759}"/>
      </w:docPartPr>
      <w:docPartBody>
        <w:p w:rsidR="00615BE4" w:rsidRDefault="00B83618" w:rsidP="00B83618">
          <w:pPr>
            <w:pStyle w:val="23E10A88042441E287CBA292BD446405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F5CFC73A689D495C958A0C0BAD2FE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8226E-3789-421E-85FD-533F2ACC2E6B}"/>
      </w:docPartPr>
      <w:docPartBody>
        <w:p w:rsidR="00615BE4" w:rsidRDefault="00B83618" w:rsidP="00B83618">
          <w:pPr>
            <w:pStyle w:val="F5CFC73A689D495C958A0C0BAD2FE658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CBF4FB190AE94541B41267715DFFB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3E764-85D4-4A76-BE79-CF86EEAA2AC2}"/>
      </w:docPartPr>
      <w:docPartBody>
        <w:p w:rsidR="00615BE4" w:rsidRDefault="00B83618" w:rsidP="00B83618">
          <w:pPr>
            <w:pStyle w:val="CBF4FB190AE94541B41267715DFFBCA1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B15F4BA2A94845B7878DC26D4368F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C935A-EF8E-41BE-81E0-6667B710E124}"/>
      </w:docPartPr>
      <w:docPartBody>
        <w:p w:rsidR="00615BE4" w:rsidRDefault="00B83618" w:rsidP="00B83618">
          <w:pPr>
            <w:pStyle w:val="B15F4BA2A94845B7878DC26D4368F07B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CCC90736DC084570ABAB79AD60933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BE32F-CBEC-470D-8DA1-8E26E91E1D26}"/>
      </w:docPartPr>
      <w:docPartBody>
        <w:p w:rsidR="00615BE4" w:rsidRDefault="00B83618" w:rsidP="00B83618">
          <w:pPr>
            <w:pStyle w:val="CCC90736DC084570ABAB79AD6093318B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E8F50F86283E46978B401182BBA1D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E505A-E0FC-454E-BEF4-5B5AD228570C}"/>
      </w:docPartPr>
      <w:docPartBody>
        <w:p w:rsidR="00615BE4" w:rsidRDefault="00B83618" w:rsidP="00B83618">
          <w:pPr>
            <w:pStyle w:val="E8F50F86283E46978B401182BBA1D15E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1D53063B659947D3919721FEB0EC6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B8CD1-2EB3-4AE7-AF57-A6ED659FAFAB}"/>
      </w:docPartPr>
      <w:docPartBody>
        <w:p w:rsidR="00615BE4" w:rsidRDefault="00B83618" w:rsidP="00B83618">
          <w:pPr>
            <w:pStyle w:val="1D53063B659947D3919721FEB0EC6BC2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76BD21FD1D6144A387BAE2F52EA08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3864A-E708-4177-9945-3CE6E4BEBE6A}"/>
      </w:docPartPr>
      <w:docPartBody>
        <w:p w:rsidR="00615BE4" w:rsidRDefault="00B83618" w:rsidP="00B83618">
          <w:pPr>
            <w:pStyle w:val="76BD21FD1D6144A387BAE2F52EA08D91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251FC31FB5854370BC8247C1FD381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EC6CE-F7A8-4BEF-A9C1-571592348D3E}"/>
      </w:docPartPr>
      <w:docPartBody>
        <w:p w:rsidR="00615BE4" w:rsidRDefault="00B83618" w:rsidP="00B83618">
          <w:pPr>
            <w:pStyle w:val="251FC31FB5854370BC8247C1FD381964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FE7E801058B2483FB8CDBF7BBCA74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5A271-7434-4AAA-A8E7-48C98DA09E08}"/>
      </w:docPartPr>
      <w:docPartBody>
        <w:p w:rsidR="00615BE4" w:rsidRDefault="00B83618" w:rsidP="00B83618">
          <w:pPr>
            <w:pStyle w:val="FE7E801058B2483FB8CDBF7BBCA74543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53C1D1A678D14BD396995D579721C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3FADB-F5D0-4BF8-81FD-B75178297259}"/>
      </w:docPartPr>
      <w:docPartBody>
        <w:p w:rsidR="00615BE4" w:rsidRDefault="00B83618" w:rsidP="00B83618">
          <w:pPr>
            <w:pStyle w:val="53C1D1A678D14BD396995D579721C047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F4B9376A0BA647938072B1F81038A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E1C5E-D501-46BB-9D03-3C8BDAF0CEFD}"/>
      </w:docPartPr>
      <w:docPartBody>
        <w:p w:rsidR="00615BE4" w:rsidRDefault="00B83618" w:rsidP="00B83618">
          <w:pPr>
            <w:pStyle w:val="F4B9376A0BA647938072B1F81038A2C5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FE5D96FE4B8341EEA9D81F06F0791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09781-D8E5-4556-BA89-8665E2287450}"/>
      </w:docPartPr>
      <w:docPartBody>
        <w:p w:rsidR="00615BE4" w:rsidRDefault="00B83618" w:rsidP="00B83618">
          <w:pPr>
            <w:pStyle w:val="FE5D96FE4B8341EEA9D81F06F0791DCF"/>
          </w:pPr>
          <w:r w:rsidRPr="00D52990">
            <w:rPr>
              <w:rStyle w:val="Platzhaltertext"/>
            </w:rPr>
            <w:t>Wählen Sie ein Element aus.</w:t>
          </w:r>
        </w:p>
      </w:docPartBody>
    </w:docPart>
    <w:docPart>
      <w:docPartPr>
        <w:name w:val="1F2B41A72EE94260B2BE38D9B6F85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15F56-0FC0-4199-9186-AC219DBF7123}"/>
      </w:docPartPr>
      <w:docPartBody>
        <w:p w:rsidR="00615BE4" w:rsidRDefault="00B83618" w:rsidP="00B83618">
          <w:pPr>
            <w:pStyle w:val="1F2B41A72EE94260B2BE38D9B6F85DDA"/>
          </w:pPr>
          <w:r w:rsidRPr="00D5299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18"/>
    <w:rsid w:val="00615BE4"/>
    <w:rsid w:val="00B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3618"/>
    <w:rPr>
      <w:color w:val="808080"/>
    </w:rPr>
  </w:style>
  <w:style w:type="paragraph" w:customStyle="1" w:styleId="6CB1939600464183B421E57C26740272">
    <w:name w:val="6CB1939600464183B421E57C26740272"/>
    <w:rsid w:val="00B83618"/>
  </w:style>
  <w:style w:type="paragraph" w:customStyle="1" w:styleId="E7432409A39C46A6A4318105ECB2BA94">
    <w:name w:val="E7432409A39C46A6A4318105ECB2BA94"/>
    <w:rsid w:val="00B83618"/>
  </w:style>
  <w:style w:type="paragraph" w:customStyle="1" w:styleId="E955E034FE0D497C96D238B1D9930003">
    <w:name w:val="E955E034FE0D497C96D238B1D9930003"/>
    <w:rsid w:val="00B83618"/>
  </w:style>
  <w:style w:type="paragraph" w:customStyle="1" w:styleId="021C8C3F0B0E43C9B0C168B7A01ABF3D">
    <w:name w:val="021C8C3F0B0E43C9B0C168B7A01ABF3D"/>
    <w:rsid w:val="00B83618"/>
  </w:style>
  <w:style w:type="paragraph" w:customStyle="1" w:styleId="23E10A88042441E287CBA292BD446405">
    <w:name w:val="23E10A88042441E287CBA292BD446405"/>
    <w:rsid w:val="00B83618"/>
  </w:style>
  <w:style w:type="paragraph" w:customStyle="1" w:styleId="F5CFC73A689D495C958A0C0BAD2FE658">
    <w:name w:val="F5CFC73A689D495C958A0C0BAD2FE658"/>
    <w:rsid w:val="00B83618"/>
  </w:style>
  <w:style w:type="paragraph" w:customStyle="1" w:styleId="CBF4FB190AE94541B41267715DFFBCA1">
    <w:name w:val="CBF4FB190AE94541B41267715DFFBCA1"/>
    <w:rsid w:val="00B83618"/>
  </w:style>
  <w:style w:type="paragraph" w:customStyle="1" w:styleId="B15F4BA2A94845B7878DC26D4368F07B">
    <w:name w:val="B15F4BA2A94845B7878DC26D4368F07B"/>
    <w:rsid w:val="00B83618"/>
  </w:style>
  <w:style w:type="paragraph" w:customStyle="1" w:styleId="CCC90736DC084570ABAB79AD6093318B">
    <w:name w:val="CCC90736DC084570ABAB79AD6093318B"/>
    <w:rsid w:val="00B83618"/>
  </w:style>
  <w:style w:type="paragraph" w:customStyle="1" w:styleId="E8F50F86283E46978B401182BBA1D15E">
    <w:name w:val="E8F50F86283E46978B401182BBA1D15E"/>
    <w:rsid w:val="00B83618"/>
  </w:style>
  <w:style w:type="paragraph" w:customStyle="1" w:styleId="1D53063B659947D3919721FEB0EC6BC2">
    <w:name w:val="1D53063B659947D3919721FEB0EC6BC2"/>
    <w:rsid w:val="00B83618"/>
  </w:style>
  <w:style w:type="paragraph" w:customStyle="1" w:styleId="76BD21FD1D6144A387BAE2F52EA08D91">
    <w:name w:val="76BD21FD1D6144A387BAE2F52EA08D91"/>
    <w:rsid w:val="00B83618"/>
  </w:style>
  <w:style w:type="paragraph" w:customStyle="1" w:styleId="251FC31FB5854370BC8247C1FD381964">
    <w:name w:val="251FC31FB5854370BC8247C1FD381964"/>
    <w:rsid w:val="00B83618"/>
  </w:style>
  <w:style w:type="paragraph" w:customStyle="1" w:styleId="FE7E801058B2483FB8CDBF7BBCA74543">
    <w:name w:val="FE7E801058B2483FB8CDBF7BBCA74543"/>
    <w:rsid w:val="00B83618"/>
  </w:style>
  <w:style w:type="paragraph" w:customStyle="1" w:styleId="53C1D1A678D14BD396995D579721C047">
    <w:name w:val="53C1D1A678D14BD396995D579721C047"/>
    <w:rsid w:val="00B83618"/>
  </w:style>
  <w:style w:type="paragraph" w:customStyle="1" w:styleId="F4B9376A0BA647938072B1F81038A2C5">
    <w:name w:val="F4B9376A0BA647938072B1F81038A2C5"/>
    <w:rsid w:val="00B83618"/>
  </w:style>
  <w:style w:type="paragraph" w:customStyle="1" w:styleId="FE5D96FE4B8341EEA9D81F06F0791DCF">
    <w:name w:val="FE5D96FE4B8341EEA9D81F06F0791DCF"/>
    <w:rsid w:val="00B83618"/>
  </w:style>
  <w:style w:type="paragraph" w:customStyle="1" w:styleId="1F2B41A72EE94260B2BE38D9B6F85DDA">
    <w:name w:val="1F2B41A72EE94260B2BE38D9B6F85DDA"/>
    <w:rsid w:val="00B836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3618"/>
    <w:rPr>
      <w:color w:val="808080"/>
    </w:rPr>
  </w:style>
  <w:style w:type="paragraph" w:customStyle="1" w:styleId="6CB1939600464183B421E57C26740272">
    <w:name w:val="6CB1939600464183B421E57C26740272"/>
    <w:rsid w:val="00B83618"/>
  </w:style>
  <w:style w:type="paragraph" w:customStyle="1" w:styleId="E7432409A39C46A6A4318105ECB2BA94">
    <w:name w:val="E7432409A39C46A6A4318105ECB2BA94"/>
    <w:rsid w:val="00B83618"/>
  </w:style>
  <w:style w:type="paragraph" w:customStyle="1" w:styleId="E955E034FE0D497C96D238B1D9930003">
    <w:name w:val="E955E034FE0D497C96D238B1D9930003"/>
    <w:rsid w:val="00B83618"/>
  </w:style>
  <w:style w:type="paragraph" w:customStyle="1" w:styleId="021C8C3F0B0E43C9B0C168B7A01ABF3D">
    <w:name w:val="021C8C3F0B0E43C9B0C168B7A01ABF3D"/>
    <w:rsid w:val="00B83618"/>
  </w:style>
  <w:style w:type="paragraph" w:customStyle="1" w:styleId="23E10A88042441E287CBA292BD446405">
    <w:name w:val="23E10A88042441E287CBA292BD446405"/>
    <w:rsid w:val="00B83618"/>
  </w:style>
  <w:style w:type="paragraph" w:customStyle="1" w:styleId="F5CFC73A689D495C958A0C0BAD2FE658">
    <w:name w:val="F5CFC73A689D495C958A0C0BAD2FE658"/>
    <w:rsid w:val="00B83618"/>
  </w:style>
  <w:style w:type="paragraph" w:customStyle="1" w:styleId="CBF4FB190AE94541B41267715DFFBCA1">
    <w:name w:val="CBF4FB190AE94541B41267715DFFBCA1"/>
    <w:rsid w:val="00B83618"/>
  </w:style>
  <w:style w:type="paragraph" w:customStyle="1" w:styleId="B15F4BA2A94845B7878DC26D4368F07B">
    <w:name w:val="B15F4BA2A94845B7878DC26D4368F07B"/>
    <w:rsid w:val="00B83618"/>
  </w:style>
  <w:style w:type="paragraph" w:customStyle="1" w:styleId="CCC90736DC084570ABAB79AD6093318B">
    <w:name w:val="CCC90736DC084570ABAB79AD6093318B"/>
    <w:rsid w:val="00B83618"/>
  </w:style>
  <w:style w:type="paragraph" w:customStyle="1" w:styleId="E8F50F86283E46978B401182BBA1D15E">
    <w:name w:val="E8F50F86283E46978B401182BBA1D15E"/>
    <w:rsid w:val="00B83618"/>
  </w:style>
  <w:style w:type="paragraph" w:customStyle="1" w:styleId="1D53063B659947D3919721FEB0EC6BC2">
    <w:name w:val="1D53063B659947D3919721FEB0EC6BC2"/>
    <w:rsid w:val="00B83618"/>
  </w:style>
  <w:style w:type="paragraph" w:customStyle="1" w:styleId="76BD21FD1D6144A387BAE2F52EA08D91">
    <w:name w:val="76BD21FD1D6144A387BAE2F52EA08D91"/>
    <w:rsid w:val="00B83618"/>
  </w:style>
  <w:style w:type="paragraph" w:customStyle="1" w:styleId="251FC31FB5854370BC8247C1FD381964">
    <w:name w:val="251FC31FB5854370BC8247C1FD381964"/>
    <w:rsid w:val="00B83618"/>
  </w:style>
  <w:style w:type="paragraph" w:customStyle="1" w:styleId="FE7E801058B2483FB8CDBF7BBCA74543">
    <w:name w:val="FE7E801058B2483FB8CDBF7BBCA74543"/>
    <w:rsid w:val="00B83618"/>
  </w:style>
  <w:style w:type="paragraph" w:customStyle="1" w:styleId="53C1D1A678D14BD396995D579721C047">
    <w:name w:val="53C1D1A678D14BD396995D579721C047"/>
    <w:rsid w:val="00B83618"/>
  </w:style>
  <w:style w:type="paragraph" w:customStyle="1" w:styleId="F4B9376A0BA647938072B1F81038A2C5">
    <w:name w:val="F4B9376A0BA647938072B1F81038A2C5"/>
    <w:rsid w:val="00B83618"/>
  </w:style>
  <w:style w:type="paragraph" w:customStyle="1" w:styleId="FE5D96FE4B8341EEA9D81F06F0791DCF">
    <w:name w:val="FE5D96FE4B8341EEA9D81F06F0791DCF"/>
    <w:rsid w:val="00B83618"/>
  </w:style>
  <w:style w:type="paragraph" w:customStyle="1" w:styleId="1F2B41A72EE94260B2BE38D9B6F85DDA">
    <w:name w:val="1F2B41A72EE94260B2BE38D9B6F85DDA"/>
    <w:rsid w:val="00B83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C32D296C.dotm</Template>
  <TotalTime>0</TotalTime>
  <Pages>4</Pages>
  <Words>581</Words>
  <Characters>3663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Prüfungshandlungen Übergang HRM1 zu HRM2</dc:title>
  <cp:lastModifiedBy>Loosli Romana, JGK-AGR-GeM</cp:lastModifiedBy>
  <cp:revision>2</cp:revision>
  <dcterms:created xsi:type="dcterms:W3CDTF">2016-09-19T09:40:00Z</dcterms:created>
  <dcterms:modified xsi:type="dcterms:W3CDTF">2016-09-19T09:40:00Z</dcterms:modified>
  <dc:language>Deutsch</dc:language>
</cp:coreProperties>
</file>