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A90" w:rsidRDefault="00C73A90">
      <w:bookmarkStart w:id="0" w:name="_GoBack"/>
      <w:bookmarkEnd w:id="0"/>
    </w:p>
    <w:p w:rsidR="00C73A90" w:rsidRDefault="00C73A90">
      <w:pPr>
        <w:jc w:val="center"/>
      </w:pPr>
    </w:p>
    <w:p w:rsidR="00C73A90" w:rsidRDefault="00C73A90">
      <w:pPr>
        <w:jc w:val="center"/>
      </w:pPr>
      <w:r>
        <w:t xml:space="preserve">VERTRAG </w:t>
      </w:r>
    </w:p>
    <w:p w:rsidR="00C73A90" w:rsidRDefault="00C73A90">
      <w:pPr>
        <w:jc w:val="center"/>
      </w:pPr>
      <w:r>
        <w:t>zwischen der</w:t>
      </w:r>
    </w:p>
    <w:p w:rsidR="00C73A90" w:rsidRDefault="00C73A90">
      <w:pPr>
        <w:jc w:val="center"/>
      </w:pPr>
      <w:r>
        <w:t>GEMEINDE FRUTIGEN (SITZGEMEINDE)</w:t>
      </w:r>
    </w:p>
    <w:p w:rsidR="00C73A90" w:rsidRDefault="00C73A90">
      <w:pPr>
        <w:jc w:val="center"/>
      </w:pPr>
      <w:r>
        <w:t>und den</w:t>
      </w:r>
    </w:p>
    <w:p w:rsidR="00C73A90" w:rsidRDefault="00C73A90">
      <w:pPr>
        <w:jc w:val="center"/>
      </w:pPr>
      <w:r>
        <w:t>GEMEINDEN ADELBODEN, AESCHI, KANDERGRUND, KANDERSTEG UND KRATTIGEN (ANSCHLUSSGEMEINDEN)</w:t>
      </w:r>
    </w:p>
    <w:p w:rsidR="00C73A90" w:rsidRDefault="00C73A90"/>
    <w:p w:rsidR="00C73A90" w:rsidRDefault="00C73A90">
      <w:pPr>
        <w:pBdr>
          <w:bottom w:val="single" w:sz="6" w:space="1" w:color="auto"/>
        </w:pBdr>
        <w:jc w:val="center"/>
      </w:pPr>
      <w:r>
        <w:t xml:space="preserve">betreffend die Führung der regionalen Sozialbehörde (KRSB) sowie des regionalen Sozialdienstes(RSD) gemäss kantonalem Sozialhilfegesetz. </w:t>
      </w:r>
    </w:p>
    <w:p w:rsidR="00C73A90" w:rsidRDefault="00C73A90">
      <w:pPr>
        <w:pBdr>
          <w:bottom w:val="single" w:sz="6" w:space="1" w:color="auto"/>
        </w:pBdr>
        <w:jc w:val="center"/>
      </w:pPr>
    </w:p>
    <w:p w:rsidR="00C73A90" w:rsidRDefault="00C73A9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439"/>
        <w:gridCol w:w="7439"/>
      </w:tblGrid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>
            <w:r>
              <w:t>AUFGABENÜBERTRAGUNG</w:t>
            </w:r>
          </w:p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/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>
            <w:r>
              <w:t>Basisdienst-</w:t>
            </w:r>
            <w:r>
              <w:br/>
            </w:r>
            <w:proofErr w:type="spellStart"/>
            <w:r>
              <w:t>leistung</w:t>
            </w:r>
            <w:proofErr w:type="spellEnd"/>
          </w:p>
        </w:tc>
        <w:tc>
          <w:tcPr>
            <w:tcW w:w="7439" w:type="dxa"/>
          </w:tcPr>
          <w:p w:rsidR="00C73A90" w:rsidRDefault="00C73A90">
            <w:pPr>
              <w:tabs>
                <w:tab w:val="left" w:pos="355"/>
              </w:tabs>
            </w:pPr>
            <w:r>
              <w:t>Art. 1</w:t>
            </w:r>
          </w:p>
          <w:p w:rsidR="00C73A90" w:rsidRDefault="00C73A90">
            <w:pPr>
              <w:tabs>
                <w:tab w:val="left" w:pos="355"/>
              </w:tabs>
            </w:pPr>
            <w:r>
              <w:rPr>
                <w:vertAlign w:val="superscript"/>
              </w:rPr>
              <w:t>1</w:t>
            </w:r>
            <w:r>
              <w:t xml:space="preserve"> Die Gemeinden </w:t>
            </w:r>
            <w:proofErr w:type="spellStart"/>
            <w:r>
              <w:t>Adelboden</w:t>
            </w:r>
            <w:proofErr w:type="spellEnd"/>
            <w:r>
              <w:t xml:space="preserve">, </w:t>
            </w:r>
            <w:proofErr w:type="spellStart"/>
            <w:r>
              <w:t>Aeschi</w:t>
            </w:r>
            <w:proofErr w:type="spellEnd"/>
            <w:r>
              <w:t xml:space="preserve">, </w:t>
            </w:r>
            <w:proofErr w:type="spellStart"/>
            <w:r>
              <w:t>Kandergrund</w:t>
            </w:r>
            <w:proofErr w:type="spellEnd"/>
            <w:r>
              <w:t xml:space="preserve">, Kandersteg und Krattigen (Anschlussgemeinden) übertragen der Gemeinde Frutigen (Sitzgemeinde) alle Aufgaben, die die kantonale Sozialhilfegesetzgebung der Sozialbehörde und dem Sozialdienst der Gemeinde überbindet. (Basisdienstleistungen). </w:t>
            </w:r>
          </w:p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/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>
            <w:r>
              <w:rPr>
                <w:vertAlign w:val="superscript"/>
              </w:rPr>
              <w:t>2</w:t>
            </w:r>
            <w:r>
              <w:t xml:space="preserve"> Vorbehalten bleibt Art. 20</w:t>
            </w:r>
          </w:p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/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>
            <w:r>
              <w:t>Zusatzdienst-</w:t>
            </w:r>
            <w:r>
              <w:br/>
            </w:r>
            <w:proofErr w:type="spellStart"/>
            <w:r>
              <w:t>leistung</w:t>
            </w:r>
            <w:proofErr w:type="spellEnd"/>
          </w:p>
        </w:tc>
        <w:tc>
          <w:tcPr>
            <w:tcW w:w="7439" w:type="dxa"/>
          </w:tcPr>
          <w:p w:rsidR="00C73A90" w:rsidRDefault="00C73A90">
            <w:r>
              <w:t>Art. 2</w:t>
            </w:r>
          </w:p>
          <w:p w:rsidR="00C73A90" w:rsidRDefault="00C73A90">
            <w:r>
              <w:rPr>
                <w:vertAlign w:val="superscript"/>
              </w:rPr>
              <w:t>1</w:t>
            </w:r>
            <w:r>
              <w:t xml:space="preserve"> Die Sitzgemeinde erfüllt für die Anschlussgemeinden auf Wunsch zusätzlich Aufgaben in den Bereichen Alimentenbevorschussung, Inkasso / Vormundschaften / Kindesschutzmassnahmen, Pflegekinderaufsicht / (Zusatzdienstleistungen). </w:t>
            </w:r>
          </w:p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/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>
            <w:r>
              <w:rPr>
                <w:vertAlign w:val="superscript"/>
              </w:rPr>
              <w:t>2</w:t>
            </w:r>
            <w:r>
              <w:t xml:space="preserve"> Die gewünschten Zusatzdienstleistungen werden in einem Anhang zu diesem Vertrag für jede Anschlussgemeinde individuell aufgeführt.</w:t>
            </w:r>
          </w:p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/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>
            <w:r>
              <w:t>Anwendbares Recht</w:t>
            </w:r>
          </w:p>
        </w:tc>
        <w:tc>
          <w:tcPr>
            <w:tcW w:w="7439" w:type="dxa"/>
          </w:tcPr>
          <w:p w:rsidR="00C73A90" w:rsidRDefault="00C73A90">
            <w:r>
              <w:t>Art. 3</w:t>
            </w:r>
          </w:p>
          <w:p w:rsidR="00C73A90" w:rsidRDefault="00C73A90">
            <w:r>
              <w:t>Die Anschlussgemeinden unterstellen sich im Rahmen dieses Vertrages den Vorschriften der Sitzgemeinde.</w:t>
            </w:r>
          </w:p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/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>
            <w:r>
              <w:t>Erfüllungs-standard</w:t>
            </w:r>
          </w:p>
        </w:tc>
        <w:tc>
          <w:tcPr>
            <w:tcW w:w="7439" w:type="dxa"/>
          </w:tcPr>
          <w:p w:rsidR="00C73A90" w:rsidRDefault="00C73A90">
            <w:r>
              <w:t>Art. 4</w:t>
            </w:r>
          </w:p>
          <w:p w:rsidR="00C73A90" w:rsidRDefault="00C73A90">
            <w:r>
              <w:rPr>
                <w:vertAlign w:val="superscript"/>
              </w:rPr>
              <w:t>1</w:t>
            </w:r>
            <w:r>
              <w:t xml:space="preserve"> Die Sitzgemeinde besorgt für die Anschlussgemeinden alle Aufgaben nach den Vorschriften der übergeordneten Gesetzgebung sowie der ergänzenden Richtlinien der Kommission regionale Sozialbehörde (KRSB gemäss Art. 12). </w:t>
            </w:r>
          </w:p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/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>
            <w:r>
              <w:rPr>
                <w:vertAlign w:val="superscript"/>
              </w:rPr>
              <w:t>2</w:t>
            </w:r>
            <w:r>
              <w:t xml:space="preserve"> Sie achtet auf eine rationelle und kostengünstige Aufgabenerfüllung, unter Einbezug von Dienstleistungen anderer privat- oder öffentlich-rechtlich organisierter Anbieter.</w:t>
            </w:r>
          </w:p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/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/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>
            <w:r>
              <w:t>FINANZIELLE BESTIMMUNGEN</w:t>
            </w:r>
          </w:p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/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>
            <w:r>
              <w:t>Berechnungs-</w:t>
            </w:r>
            <w:r>
              <w:br/>
            </w:r>
            <w:proofErr w:type="spellStart"/>
            <w:r>
              <w:t>grundlagen</w:t>
            </w:r>
            <w:proofErr w:type="spellEnd"/>
          </w:p>
        </w:tc>
        <w:tc>
          <w:tcPr>
            <w:tcW w:w="7439" w:type="dxa"/>
          </w:tcPr>
          <w:p w:rsidR="00C73A90" w:rsidRDefault="00C73A90">
            <w:r>
              <w:t>Art. 5</w:t>
            </w:r>
          </w:p>
          <w:p w:rsidR="00C73A90" w:rsidRDefault="00C73A90">
            <w:r>
              <w:t xml:space="preserve">Die Anschlussgemeinden entschädigen die Sitzgemeinde für ihre Basisdienstleistungen nach der Steuerkraft. </w:t>
            </w:r>
          </w:p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/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>
            <w:r>
              <w:t>Art. 6</w:t>
            </w:r>
          </w:p>
          <w:p w:rsidR="00C73A90" w:rsidRDefault="00C73A90">
            <w:r>
              <w:rPr>
                <w:vertAlign w:val="superscript"/>
              </w:rPr>
              <w:t>1</w:t>
            </w:r>
            <w:r>
              <w:t xml:space="preserve"> Die Zusatzdienstleistungen werden nach Aufwand entschädigt.</w:t>
            </w:r>
          </w:p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/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>
            <w:r>
              <w:rPr>
                <w:vertAlign w:val="superscript"/>
              </w:rPr>
              <w:t>2</w:t>
            </w:r>
            <w:r>
              <w:t xml:space="preserve"> Der Stundenansatz wird jährlich neu berechnet.</w:t>
            </w:r>
          </w:p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/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>
            <w:r>
              <w:t>Lastenausgleich</w:t>
            </w:r>
          </w:p>
          <w:p w:rsidR="00C73A90" w:rsidRDefault="00C73A90"/>
        </w:tc>
        <w:tc>
          <w:tcPr>
            <w:tcW w:w="7439" w:type="dxa"/>
          </w:tcPr>
          <w:p w:rsidR="00C73A90" w:rsidRDefault="00C73A90">
            <w:r>
              <w:t>Art. 7</w:t>
            </w:r>
          </w:p>
          <w:p w:rsidR="00C73A90" w:rsidRDefault="00C73A90">
            <w:r>
              <w:rPr>
                <w:vertAlign w:val="superscript"/>
              </w:rPr>
              <w:t>1</w:t>
            </w:r>
            <w:r>
              <w:t xml:space="preserve"> Die Sitzgemeinde gibt die lastenausgleichsberechtigten Kosten (Besoldungs- und Weiterbildungsaufwendungen für das Fachpersonal und Besoldungsaufwendungen für das administrative Personal des Sozialdienstes sowie die Leistungen der wirtschaftlichen Hilfe) direkt in den Lastenausgleich ein. </w:t>
            </w:r>
          </w:p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/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>
            <w:r>
              <w:t>Vorfinanzierung</w:t>
            </w:r>
          </w:p>
        </w:tc>
        <w:tc>
          <w:tcPr>
            <w:tcW w:w="7439" w:type="dxa"/>
          </w:tcPr>
          <w:p w:rsidR="00C73A90" w:rsidRDefault="00C73A90">
            <w:r>
              <w:rPr>
                <w:vertAlign w:val="superscript"/>
              </w:rPr>
              <w:t>2</w:t>
            </w:r>
            <w:r>
              <w:t xml:space="preserve"> Die Sitzgemeinde übernimmt die Vorfinanzierung der</w:t>
            </w:r>
            <w:r>
              <w:rPr>
                <w:i/>
              </w:rPr>
              <w:t xml:space="preserve"> </w:t>
            </w:r>
            <w:r>
              <w:t>lastenausgleichsberechtigten Kosten für Besoldungs- und Weiterbildungsaufwendungen.</w:t>
            </w:r>
          </w:p>
          <w:p w:rsidR="00C73A90" w:rsidRDefault="00C73A90"/>
          <w:p w:rsidR="00C73A90" w:rsidRDefault="00C73A90">
            <w:r>
              <w:rPr>
                <w:vertAlign w:val="superscript"/>
              </w:rPr>
              <w:t>3</w:t>
            </w:r>
            <w:r>
              <w:t xml:space="preserve"> Die Anschlussgemeinden verzinsen die Vorfinanzierung der Leistungen der wirtschaftlichen Hilfe zu einem Zinssatz von gegenwärtig 2.5% p.a. (Mischsatz zwischen dem Satz für 1. Hypotheken bei der SLF und Habenzinssatz Kontokorrente SLF/Post). Bei Änderungen der Zinssätze wird dieser Mischsatz jeweils auf 1. Januar mit Wirkung für das Folgejahr angepasst.</w:t>
            </w:r>
          </w:p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/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>
            <w:proofErr w:type="spellStart"/>
            <w:r>
              <w:t>Schlussabrech-nung</w:t>
            </w:r>
            <w:proofErr w:type="spellEnd"/>
          </w:p>
        </w:tc>
        <w:tc>
          <w:tcPr>
            <w:tcW w:w="7439" w:type="dxa"/>
          </w:tcPr>
          <w:p w:rsidR="00C73A90" w:rsidRDefault="00C73A90">
            <w:r>
              <w:t>Art. 8</w:t>
            </w:r>
          </w:p>
          <w:p w:rsidR="00C73A90" w:rsidRDefault="00C73A90">
            <w:r>
              <w:t>Der verbleibende Gemeindeanteil wird den Anschlussgemeinden auf Ende Kalenderjahr, spätestens bis Ende Februar des folgenden Jahres, in Rechnung gestellt</w:t>
            </w:r>
            <w:r>
              <w:rPr>
                <w:i/>
              </w:rPr>
              <w:t>.</w:t>
            </w:r>
          </w:p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/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>
            <w:r>
              <w:t>Rechnungs-prüfung</w:t>
            </w:r>
          </w:p>
        </w:tc>
        <w:tc>
          <w:tcPr>
            <w:tcW w:w="7439" w:type="dxa"/>
          </w:tcPr>
          <w:p w:rsidR="00C73A90" w:rsidRDefault="00C73A90">
            <w:r>
              <w:t>Art. 9</w:t>
            </w:r>
          </w:p>
          <w:p w:rsidR="00C73A90" w:rsidRDefault="00C73A90">
            <w:r>
              <w:t>Die Rechnungsprüfung erfolgt durch das zuständige Organ der Sitzgemeinde.</w:t>
            </w:r>
          </w:p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/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/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>
            <w:r>
              <w:t>ORGANISATION</w:t>
            </w:r>
          </w:p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>
            <w:pPr>
              <w:rPr>
                <w:b/>
                <w:i/>
              </w:rPr>
            </w:pPr>
          </w:p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>
            <w:r>
              <w:rPr>
                <w:b/>
              </w:rPr>
              <w:t>Regionale Sozialbehörde (KRSB</w:t>
            </w:r>
            <w:r>
              <w:rPr>
                <w:b/>
                <w:i/>
              </w:rPr>
              <w:t>)</w:t>
            </w:r>
          </w:p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/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>
            <w:r>
              <w:t>Art. 10</w:t>
            </w:r>
          </w:p>
          <w:p w:rsidR="00C73A90" w:rsidRDefault="00C73A90">
            <w:r>
              <w:t>Die ständige Kommission „regionale Sozialbehörde“</w:t>
            </w:r>
            <w:r>
              <w:rPr>
                <w:i/>
              </w:rPr>
              <w:t xml:space="preserve"> </w:t>
            </w:r>
            <w:r>
              <w:t xml:space="preserve">der Sitzgemeinde (KRSB) ist Sozialbehörde nach SHG der Vertragsparteien. </w:t>
            </w:r>
          </w:p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/>
        </w:tc>
      </w:tr>
      <w:tr w:rsidR="00C73A90">
        <w:tc>
          <w:tcPr>
            <w:tcW w:w="1771" w:type="dxa"/>
          </w:tcPr>
          <w:p w:rsidR="00C73A90" w:rsidRDefault="00C73A90">
            <w:r>
              <w:t>Zusammen-setzung</w:t>
            </w:r>
          </w:p>
        </w:tc>
        <w:tc>
          <w:tcPr>
            <w:tcW w:w="7439" w:type="dxa"/>
          </w:tcPr>
          <w:p w:rsidR="00C73A90" w:rsidRDefault="00C73A90">
            <w:r>
              <w:t>Art. 11</w:t>
            </w:r>
          </w:p>
          <w:p w:rsidR="00C73A90" w:rsidRDefault="00C73A90">
            <w:r>
              <w:rPr>
                <w:vertAlign w:val="superscript"/>
              </w:rPr>
              <w:t>1</w:t>
            </w:r>
            <w:r>
              <w:t xml:space="preserve"> Die KRSB setzt sich zusammen aus den Ressortvorsteherinnen und Ressortvorstehern aller Vertragsparteien. </w:t>
            </w:r>
          </w:p>
        </w:tc>
        <w:tc>
          <w:tcPr>
            <w:tcW w:w="7439" w:type="dxa"/>
          </w:tcPr>
          <w:p w:rsidR="00C73A90" w:rsidRDefault="00C73A90">
            <w:r>
              <w:t>.</w:t>
            </w:r>
          </w:p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/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>
            <w:r>
              <w:rPr>
                <w:vertAlign w:val="superscript"/>
              </w:rPr>
              <w:t>2</w:t>
            </w:r>
            <w:r>
              <w:t xml:space="preserve"> .Die KRSB konstituiert sich selbst.</w:t>
            </w:r>
          </w:p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/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>
            <w:r>
              <w:rPr>
                <w:vertAlign w:val="superscript"/>
              </w:rPr>
              <w:t>3</w:t>
            </w:r>
            <w:r>
              <w:t xml:space="preserve"> Der regionale Sozialdienst (RSD) führt das Sekretariat.</w:t>
            </w:r>
          </w:p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/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>
            <w:r>
              <w:t>Aufgaben</w:t>
            </w:r>
          </w:p>
        </w:tc>
        <w:tc>
          <w:tcPr>
            <w:tcW w:w="7439" w:type="dxa"/>
          </w:tcPr>
          <w:p w:rsidR="00C73A90" w:rsidRDefault="00C73A90">
            <w:r>
              <w:t>Art. 12</w:t>
            </w:r>
          </w:p>
          <w:p w:rsidR="00C73A90" w:rsidRDefault="00C73A90">
            <w:r>
              <w:rPr>
                <w:vertAlign w:val="superscript"/>
              </w:rPr>
              <w:t>1</w:t>
            </w:r>
            <w:r>
              <w:t xml:space="preserve"> Die KRSB erfüllt für die Vertragsparteien alle Aufgaben der Sozialbehörde gemäss SHG und SHV und verfügt über die notwendigen Kompetenzen.</w:t>
            </w:r>
          </w:p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/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>
            <w:r>
              <w:rPr>
                <w:vertAlign w:val="superscript"/>
              </w:rPr>
              <w:t>2</w:t>
            </w:r>
            <w:r>
              <w:t xml:space="preserve"> Sie erarbeitet die für ihre strategischen Aufgaben erforderlichen Richtlinien und Controlling - Instrumente.</w:t>
            </w:r>
          </w:p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/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>
            <w:r>
              <w:rPr>
                <w:vertAlign w:val="superscript"/>
              </w:rPr>
              <w:t>3</w:t>
            </w:r>
            <w:r>
              <w:t xml:space="preserve"> Sie entscheidet abschliessend in allen Belangen, die die kantonale Sozialhilfegesetzgebung der Sozialbehörde zum Entscheid überträgt.</w:t>
            </w:r>
          </w:p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/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>
            <w:r>
              <w:rPr>
                <w:vertAlign w:val="superscript"/>
              </w:rPr>
              <w:t>4</w:t>
            </w:r>
            <w:r>
              <w:t xml:space="preserve"> Im Rahmen ihrer Aufgaben gemäss Art. 17 lit. b SHG obliegen ihr insbesondere</w:t>
            </w:r>
          </w:p>
          <w:p w:rsidR="00C73A90" w:rsidRDefault="00C73A90" w:rsidP="00C73A90">
            <w:pPr>
              <w:numPr>
                <w:ilvl w:val="0"/>
                <w:numId w:val="1"/>
              </w:numPr>
            </w:pPr>
            <w:r>
              <w:t xml:space="preserve">die Beaufsichtigung und Unterstützung des RSD </w:t>
            </w:r>
          </w:p>
          <w:p w:rsidR="00C73A90" w:rsidRDefault="00C73A90" w:rsidP="00C73A90">
            <w:pPr>
              <w:numPr>
                <w:ilvl w:val="0"/>
                <w:numId w:val="1"/>
              </w:numPr>
            </w:pPr>
            <w:r>
              <w:t>die Präzisierung von Aufgaben und Kompetenzen des RSD im Rahmen der kantonalen Gesetzgebung.</w:t>
            </w:r>
          </w:p>
          <w:p w:rsidR="00C73A90" w:rsidRDefault="00C73A90" w:rsidP="00C73A90">
            <w:pPr>
              <w:numPr>
                <w:ilvl w:val="0"/>
                <w:numId w:val="1"/>
              </w:numPr>
            </w:pPr>
            <w:r>
              <w:t xml:space="preserve">die Antragstellung bezüglich </w:t>
            </w:r>
            <w:r>
              <w:br/>
              <w:t>- Anstellung von Personal im Rahmen der bewilligten Stellenprozente</w:t>
            </w:r>
            <w:r>
              <w:br/>
              <w:t xml:space="preserve">- Anstellung des Leiters / der Leiterin und des Fachpersonals des RSD </w:t>
            </w:r>
            <w:r>
              <w:br/>
              <w:t>- Einreihung des Personals RSD im Rahmen der Bestimmungen der</w:t>
            </w:r>
            <w:r>
              <w:br/>
              <w:t xml:space="preserve">  Sitzgemeinde</w:t>
            </w:r>
            <w:r>
              <w:br/>
              <w:t>- Genehmigung der Jahresrechnung und des Voranschlags des RSD</w:t>
            </w:r>
          </w:p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/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>
            <w:r>
              <w:t>Beschlüsse</w:t>
            </w:r>
          </w:p>
        </w:tc>
        <w:tc>
          <w:tcPr>
            <w:tcW w:w="7439" w:type="dxa"/>
          </w:tcPr>
          <w:p w:rsidR="00C73A90" w:rsidRDefault="00C73A90">
            <w:r>
              <w:t>Art. 13</w:t>
            </w:r>
          </w:p>
          <w:p w:rsidR="00C73A90" w:rsidRDefault="00C73A90">
            <w:r>
              <w:rPr>
                <w:vertAlign w:val="superscript"/>
              </w:rPr>
              <w:t>1</w:t>
            </w:r>
            <w:r>
              <w:t xml:space="preserve"> Die KRSB ist beschlussfähig, wenn mehr als die Hälfte der Mitglieder anwesend sind. </w:t>
            </w:r>
          </w:p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/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>
            <w:r>
              <w:rPr>
                <w:vertAlign w:val="superscript"/>
              </w:rPr>
              <w:t>2</w:t>
            </w:r>
            <w:r>
              <w:t xml:space="preserve"> Sie beschliesst mit einfachem Mehr der anwesenden Mitglieder.</w:t>
            </w:r>
          </w:p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/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>
            <w:r>
              <w:rPr>
                <w:vertAlign w:val="superscript"/>
              </w:rPr>
              <w:t>3</w:t>
            </w:r>
            <w:r>
              <w:t xml:space="preserve"> Entscheide betreffend Leistungsangebote der institutionellen Sozialhilfe benötigen die Zustimmung von 2/3 der beteiligten Gemeinden. </w:t>
            </w:r>
          </w:p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/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>
            <w:r>
              <w:rPr>
                <w:vertAlign w:val="superscript"/>
              </w:rPr>
              <w:t>4</w:t>
            </w:r>
            <w:r>
              <w:t xml:space="preserve"> Bei Stimmengleichheit entscheidet die Präsidentin, der Präsident.</w:t>
            </w:r>
          </w:p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/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>
            <w:r>
              <w:t>Einsichtsrecht</w:t>
            </w:r>
          </w:p>
        </w:tc>
        <w:tc>
          <w:tcPr>
            <w:tcW w:w="7439" w:type="dxa"/>
          </w:tcPr>
          <w:p w:rsidR="00C73A90" w:rsidRDefault="00C73A90">
            <w:r>
              <w:t>Art. 14</w:t>
            </w:r>
          </w:p>
          <w:p w:rsidR="00C73A90" w:rsidRDefault="00C73A90">
            <w:r>
              <w:t xml:space="preserve">Als Aufsichtsstelle des RSD kann die KRSB mit Mehrheitsbeschluss und im Rahmen der kantonalen Vorschriften Einsicht in alle Akten des RSD verlangen. </w:t>
            </w:r>
          </w:p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/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/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>
            <w:pPr>
              <w:rPr>
                <w:b/>
              </w:rPr>
            </w:pPr>
            <w:r>
              <w:rPr>
                <w:b/>
              </w:rPr>
              <w:t>Regionaler Sozialdienst (RSD)</w:t>
            </w:r>
          </w:p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/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>
            <w:r>
              <w:t>Aufgaben</w:t>
            </w:r>
          </w:p>
        </w:tc>
        <w:tc>
          <w:tcPr>
            <w:tcW w:w="7439" w:type="dxa"/>
          </w:tcPr>
          <w:p w:rsidR="00C73A90" w:rsidRDefault="00C73A90">
            <w:r>
              <w:t>Art. 15</w:t>
            </w:r>
          </w:p>
          <w:p w:rsidR="00C73A90" w:rsidRDefault="00C73A90">
            <w:r>
              <w:t xml:space="preserve">Der RSD erfüllt für alle Vertragsgemeinden die ihm gemäss kantonaler Sozialhilfegesetzgebung übertragenen Aufgaben. </w:t>
            </w:r>
          </w:p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/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>
            <w:r>
              <w:t>Unterstellung</w:t>
            </w:r>
          </w:p>
        </w:tc>
        <w:tc>
          <w:tcPr>
            <w:tcW w:w="7439" w:type="dxa"/>
          </w:tcPr>
          <w:p w:rsidR="00C73A90" w:rsidRDefault="00C73A90">
            <w:r>
              <w:t>Art. 16</w:t>
            </w:r>
          </w:p>
          <w:p w:rsidR="00C73A90" w:rsidRDefault="00C73A90">
            <w:r>
              <w:rPr>
                <w:vertAlign w:val="superscript"/>
              </w:rPr>
              <w:t>1</w:t>
            </w:r>
            <w:r>
              <w:t xml:space="preserve"> Das Personal des RSD untersteht:</w:t>
            </w:r>
          </w:p>
          <w:p w:rsidR="00C73A90" w:rsidRDefault="00C73A90" w:rsidP="00C73A90">
            <w:pPr>
              <w:numPr>
                <w:ilvl w:val="0"/>
                <w:numId w:val="2"/>
              </w:numPr>
            </w:pPr>
            <w:r>
              <w:t>Soweit die Aufgaben gemäss Art. 1 und 2 betreffend der KRSB.</w:t>
            </w:r>
          </w:p>
          <w:p w:rsidR="00C73A90" w:rsidRDefault="00C73A90" w:rsidP="00C73A90">
            <w:pPr>
              <w:numPr>
                <w:ilvl w:val="0"/>
                <w:numId w:val="2"/>
              </w:numPr>
            </w:pPr>
            <w:r>
              <w:t>Administrativ dem zuständigen Organ der Sitzgemeinde</w:t>
            </w:r>
          </w:p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/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>
            <w:r>
              <w:rPr>
                <w:vertAlign w:val="superscript"/>
              </w:rPr>
              <w:t>2</w:t>
            </w:r>
            <w:r>
              <w:t xml:space="preserve"> Der RSD befolgt die Weisungen der KRSB und legt dieser Rechenschaft über seine Tätigkeit und über den Arbeitseinsatz ab.</w:t>
            </w:r>
          </w:p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/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>
            <w:r>
              <w:t>Anstellung</w:t>
            </w:r>
          </w:p>
        </w:tc>
        <w:tc>
          <w:tcPr>
            <w:tcW w:w="7439" w:type="dxa"/>
          </w:tcPr>
          <w:p w:rsidR="00C73A90" w:rsidRDefault="00C73A90">
            <w:r>
              <w:t>Art. 17</w:t>
            </w:r>
          </w:p>
          <w:p w:rsidR="00C73A90" w:rsidRDefault="00C73A90">
            <w:r>
              <w:t xml:space="preserve">Das Personal des Sozialdienstes wird nach den Bestimmungen der Sitzgemeinde angestellt und entschädigt. </w:t>
            </w:r>
          </w:p>
          <w:p w:rsidR="00C73A90" w:rsidRDefault="00C73A90"/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/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>
            <w:r>
              <w:t>VERTRAGSDAUER / KÜNDIGUNG / VERTRAGSANPASSUNG RECHTSPFLEGE</w:t>
            </w:r>
          </w:p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/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>
            <w:r>
              <w:t>Kündigung</w:t>
            </w:r>
          </w:p>
        </w:tc>
        <w:tc>
          <w:tcPr>
            <w:tcW w:w="7439" w:type="dxa"/>
          </w:tcPr>
          <w:p w:rsidR="00C73A90" w:rsidRDefault="00C73A90">
            <w:r>
              <w:t>Art. 18</w:t>
            </w:r>
          </w:p>
          <w:p w:rsidR="00C73A90" w:rsidRDefault="00C73A90">
            <w:r>
              <w:rPr>
                <w:vertAlign w:val="superscript"/>
              </w:rPr>
              <w:t>1</w:t>
            </w:r>
            <w:r>
              <w:t xml:space="preserve"> Der vorliegende Vertrag wird auf unbestimmte Dauer abgeschlossen.</w:t>
            </w:r>
          </w:p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/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>
            <w:r>
              <w:rPr>
                <w:vertAlign w:val="superscript"/>
              </w:rPr>
              <w:t>2</w:t>
            </w:r>
            <w:r>
              <w:t xml:space="preserve"> Jede Vertragspartei kann den Vertrag mit einer Kündigungsfrist von 6 Monaten</w:t>
            </w:r>
            <w:r>
              <w:rPr>
                <w:i/>
              </w:rPr>
              <w:t xml:space="preserve"> </w:t>
            </w:r>
            <w:r>
              <w:t>auf Ende eines Kalenderjahres kündigen.</w:t>
            </w:r>
          </w:p>
        </w:tc>
      </w:tr>
      <w:tr w:rsidR="00C73A90">
        <w:trPr>
          <w:gridAfter w:val="1"/>
          <w:wAfter w:w="7439" w:type="dxa"/>
          <w:trHeight w:val="133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/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>
            <w:r>
              <w:rPr>
                <w:vertAlign w:val="superscript"/>
              </w:rPr>
              <w:t>3</w:t>
            </w:r>
            <w:r>
              <w:t xml:space="preserve"> Die Sitzgemeinde informiert die Anschlussgemeinden unverzüglich über Kündigungen.</w:t>
            </w:r>
          </w:p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/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/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>
            <w:r>
              <w:t>Rechtspflege</w:t>
            </w:r>
          </w:p>
        </w:tc>
        <w:tc>
          <w:tcPr>
            <w:tcW w:w="7439" w:type="dxa"/>
          </w:tcPr>
          <w:p w:rsidR="00C73A90" w:rsidRDefault="00C73A90">
            <w:r>
              <w:t>Art. 19</w:t>
            </w:r>
          </w:p>
          <w:p w:rsidR="00C73A90" w:rsidRDefault="00C73A90">
            <w:r>
              <w:t>Können Streitigkeiten zwischen der Sitz- und der Anschlussgemeinde im Zusammenhang mit dem vorliegenden Vertrag nicht gütlich beigelegt werden, richtet sich das Verfahren nach dem Gesetz über die Verwaltungsrechtspflege.</w:t>
            </w:r>
          </w:p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/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/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>
            <w:r>
              <w:t>ÜBERGANGSREGELUNG / SCHLUSSBESTIMMUNGEN</w:t>
            </w:r>
          </w:p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/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>
            <w:r>
              <w:t>Bestehende Angebote der institutionellen Sozialhilfe</w:t>
            </w:r>
          </w:p>
        </w:tc>
        <w:tc>
          <w:tcPr>
            <w:tcW w:w="7439" w:type="dxa"/>
          </w:tcPr>
          <w:p w:rsidR="00C73A90" w:rsidRDefault="00C73A90">
            <w:r>
              <w:t>Art. 20</w:t>
            </w:r>
          </w:p>
          <w:p w:rsidR="00C73A90" w:rsidRDefault="00C73A90">
            <w:r>
              <w:t>Ohne gegenteiligen Beschluss aller Vertragspartner verbleiben bestehende Angebote im institutionellen Bereich bis Ende 2004 in der Zuständigkeit jeder einzelnen Gemeinde.</w:t>
            </w:r>
          </w:p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/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>
            <w:r>
              <w:t>Anpassung der</w:t>
            </w:r>
          </w:p>
          <w:p w:rsidR="00C73A90" w:rsidRDefault="00C73A90">
            <w:r>
              <w:t>Reglemente</w:t>
            </w:r>
          </w:p>
        </w:tc>
        <w:tc>
          <w:tcPr>
            <w:tcW w:w="7439" w:type="dxa"/>
          </w:tcPr>
          <w:p w:rsidR="00C73A90" w:rsidRDefault="00C73A90">
            <w:r>
              <w:t>Art. 21</w:t>
            </w:r>
          </w:p>
          <w:p w:rsidR="00C73A90" w:rsidRDefault="00C73A90">
            <w:r>
              <w:t>Die Vertragsgemeinden unterbreiten die erforderlichen Reglemente, bzw. deren Anpassungen den Stimmberechtigten zum Beschluss.</w:t>
            </w:r>
          </w:p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/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>
            <w:r>
              <w:t>Inkrafttreten</w:t>
            </w:r>
          </w:p>
        </w:tc>
        <w:tc>
          <w:tcPr>
            <w:tcW w:w="7439" w:type="dxa"/>
          </w:tcPr>
          <w:p w:rsidR="00C73A90" w:rsidRDefault="00C73A90">
            <w:r>
              <w:t>Art. 22</w:t>
            </w:r>
          </w:p>
          <w:p w:rsidR="00C73A90" w:rsidRDefault="00C73A90">
            <w:r>
              <w:t>Dieser Vertrag tritt nach Unterzeichnung durch die Gemeinderäte und den Beschlüssen</w:t>
            </w:r>
            <w:r>
              <w:rPr>
                <w:i/>
              </w:rPr>
              <w:t xml:space="preserve"> </w:t>
            </w:r>
            <w:r>
              <w:t xml:space="preserve">gemäss Art. 21 am 1. Januar 2002 in Kraft. </w:t>
            </w:r>
          </w:p>
        </w:tc>
      </w:tr>
      <w:tr w:rsidR="00C73A90">
        <w:trPr>
          <w:gridAfter w:val="1"/>
          <w:wAfter w:w="7439" w:type="dxa"/>
        </w:trPr>
        <w:tc>
          <w:tcPr>
            <w:tcW w:w="1771" w:type="dxa"/>
          </w:tcPr>
          <w:p w:rsidR="00C73A90" w:rsidRDefault="00C73A90"/>
        </w:tc>
        <w:tc>
          <w:tcPr>
            <w:tcW w:w="7439" w:type="dxa"/>
          </w:tcPr>
          <w:p w:rsidR="00C73A90" w:rsidRDefault="00C73A90"/>
        </w:tc>
      </w:tr>
    </w:tbl>
    <w:p w:rsidR="00C73A90" w:rsidRDefault="00C73A90"/>
    <w:p w:rsidR="00C73A90" w:rsidRDefault="00C73A90"/>
    <w:p w:rsidR="00C73A90" w:rsidRDefault="00C73A90"/>
    <w:p w:rsidR="00C73A90" w:rsidRDefault="00C73A90">
      <w:r>
        <w:t>Für die Sitzgemeinde:</w:t>
      </w:r>
      <w:r>
        <w:tab/>
      </w:r>
      <w:r>
        <w:tab/>
      </w:r>
      <w:r>
        <w:tab/>
        <w:t>Frutigen</w:t>
      </w:r>
    </w:p>
    <w:p w:rsidR="00C73A90" w:rsidRDefault="00C73A90"/>
    <w:p w:rsidR="00C73A90" w:rsidRDefault="00C73A90">
      <w:pPr>
        <w:tabs>
          <w:tab w:val="left" w:pos="4253"/>
        </w:tabs>
      </w:pPr>
      <w:r>
        <w:t>Für die Anschlussgemeinden:</w:t>
      </w:r>
      <w:r>
        <w:tab/>
        <w:t>Adelboden</w:t>
      </w:r>
    </w:p>
    <w:p w:rsidR="00C73A90" w:rsidRDefault="00C73A90">
      <w:pPr>
        <w:tabs>
          <w:tab w:val="left" w:pos="4253"/>
        </w:tabs>
      </w:pPr>
    </w:p>
    <w:p w:rsidR="00C73A90" w:rsidRDefault="00C73A90">
      <w:pPr>
        <w:tabs>
          <w:tab w:val="left" w:pos="4253"/>
        </w:tabs>
      </w:pPr>
      <w:r>
        <w:tab/>
      </w:r>
      <w:proofErr w:type="spellStart"/>
      <w:r>
        <w:t>Aeschi</w:t>
      </w:r>
      <w:proofErr w:type="spellEnd"/>
    </w:p>
    <w:p w:rsidR="00C73A90" w:rsidRDefault="00C73A90">
      <w:pPr>
        <w:tabs>
          <w:tab w:val="left" w:pos="4253"/>
        </w:tabs>
      </w:pPr>
    </w:p>
    <w:p w:rsidR="00C73A90" w:rsidRDefault="00C73A90">
      <w:pPr>
        <w:tabs>
          <w:tab w:val="left" w:pos="4253"/>
        </w:tabs>
      </w:pPr>
      <w:r>
        <w:tab/>
      </w:r>
      <w:proofErr w:type="spellStart"/>
      <w:r>
        <w:t>Kandergrund</w:t>
      </w:r>
      <w:proofErr w:type="spellEnd"/>
    </w:p>
    <w:p w:rsidR="00C73A90" w:rsidRDefault="00C73A90">
      <w:pPr>
        <w:tabs>
          <w:tab w:val="left" w:pos="4253"/>
        </w:tabs>
      </w:pPr>
    </w:p>
    <w:p w:rsidR="00C73A90" w:rsidRDefault="00C73A90">
      <w:pPr>
        <w:tabs>
          <w:tab w:val="left" w:pos="4253"/>
        </w:tabs>
      </w:pPr>
      <w:r>
        <w:tab/>
        <w:t>Kandersteg</w:t>
      </w:r>
    </w:p>
    <w:p w:rsidR="00C73A90" w:rsidRDefault="00C73A90">
      <w:pPr>
        <w:tabs>
          <w:tab w:val="left" w:pos="4253"/>
        </w:tabs>
      </w:pPr>
    </w:p>
    <w:p w:rsidR="00C73A90" w:rsidRDefault="00C73A90">
      <w:pPr>
        <w:tabs>
          <w:tab w:val="left" w:pos="4253"/>
        </w:tabs>
      </w:pPr>
      <w:r>
        <w:tab/>
        <w:t>Krattigen</w:t>
      </w:r>
      <w:r>
        <w:tab/>
      </w:r>
    </w:p>
    <w:sectPr w:rsidR="00C73A90">
      <w:footerReference w:type="default" r:id="rId7"/>
      <w:pgSz w:w="11907" w:h="16840" w:code="9"/>
      <w:pgMar w:top="1418" w:right="1418" w:bottom="1701" w:left="1418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4EE" w:rsidRDefault="001E54EE" w:rsidP="00C73A90">
      <w:r>
        <w:separator/>
      </w:r>
    </w:p>
  </w:endnote>
  <w:endnote w:type="continuationSeparator" w:id="0">
    <w:p w:rsidR="001E54EE" w:rsidRDefault="001E54EE" w:rsidP="00C7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A90" w:rsidRDefault="00C73A90">
    <w:pPr>
      <w:pStyle w:val="Fuzeile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FILENAME \p \* MERGEFORMAT </w:instrText>
    </w:r>
    <w:r>
      <w:rPr>
        <w:sz w:val="16"/>
      </w:rPr>
      <w:fldChar w:fldCharType="separate"/>
    </w:r>
    <w:r>
      <w:rPr>
        <w:noProof/>
        <w:sz w:val="16"/>
      </w:rPr>
      <w:t>O:\Hus\Sozialamt Frutigen\01083001.doc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4EE" w:rsidRDefault="001E54EE" w:rsidP="00C73A90">
      <w:r>
        <w:separator/>
      </w:r>
    </w:p>
  </w:footnote>
  <w:footnote w:type="continuationSeparator" w:id="0">
    <w:p w:rsidR="001E54EE" w:rsidRDefault="001E54EE" w:rsidP="00C7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A0246D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2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A90"/>
    <w:rsid w:val="000F5503"/>
    <w:rsid w:val="001E54EE"/>
    <w:rsid w:val="00A61D88"/>
    <w:rsid w:val="00BE36B0"/>
    <w:rsid w:val="00C7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DF122C-A986-435B-BD23-5331F94D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ribuna\Vorlagen%20BeO\00.0000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00.0000.dot</Template>
  <TotalTime>0</TotalTime>
  <Pages>4</Pages>
  <Words>843</Words>
  <Characters>6128</Characters>
  <Application>Microsoft Office Word</Application>
  <DocSecurity>0</DocSecurity>
  <Lines>51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Vertrag betreffend die Führung der regionalen Sozialbehörde (KRSB) sowie des regionalen Sozialdienstes (RSD) gemäss kantonalem Sozialhilfesgesetz</vt:lpstr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Vertrag betreffend die Führung der regionalen Sozialbehörde (KRSB) sowie des regionalen Sozialdienstes (RSD) gemäss kantonalem Sozialhilfesgesetz</dc:title>
  <dc:subject/>
  <dc:creator/>
  <cp:keywords/>
  <dc:description/>
  <cp:lastModifiedBy>Zurbuchen Kathrin, DIJ-AGR-GeM</cp:lastModifiedBy>
  <cp:revision>3</cp:revision>
  <cp:lastPrinted>2001-09-25T09:37:00Z</cp:lastPrinted>
  <dcterms:created xsi:type="dcterms:W3CDTF">2022-11-04T12:40:00Z</dcterms:created>
  <dcterms:modified xsi:type="dcterms:W3CDTF">2022-12-16T10:51:00Z</dcterms:modified>
</cp:coreProperties>
</file>