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E9" w:rsidRPr="00336989" w:rsidRDefault="004A41E9" w:rsidP="004A41E9">
      <w:pPr>
        <w:spacing w:after="1700" w:line="276" w:lineRule="auto"/>
      </w:pPr>
      <w:bookmarkStart w:id="0" w:name="_GoBack"/>
      <w:bookmarkEnd w:id="0"/>
    </w:p>
    <w:p w:rsidR="004A41E9" w:rsidRPr="00336989" w:rsidRDefault="008C0851" w:rsidP="00B257D3">
      <w:pPr>
        <w:pStyle w:val="Titel"/>
      </w:pPr>
      <w:r>
        <w:t>Reglement</w:t>
      </w:r>
    </w:p>
    <w:p w:rsidR="004A41E9" w:rsidRPr="00336989" w:rsidRDefault="008C0851" w:rsidP="004A41E9">
      <w:pPr>
        <w:pStyle w:val="Untertitel"/>
      </w:pPr>
      <w:r>
        <w:t>Spezialfinanzierung Bewirtschaftung der Gemeindewälder</w:t>
      </w:r>
    </w:p>
    <w:p w:rsidR="00B257D3" w:rsidRDefault="00B257D3" w:rsidP="00B257D3"/>
    <w:p w:rsidR="00B257D3" w:rsidRDefault="00B257D3" w:rsidP="00B257D3"/>
    <w:p w:rsidR="00B257D3" w:rsidRDefault="00B257D3" w:rsidP="00B257D3"/>
    <w:p w:rsidR="00B257D3" w:rsidRDefault="00B257D3" w:rsidP="00B257D3"/>
    <w:p w:rsidR="00B257D3" w:rsidRDefault="008C0851" w:rsidP="00B257D3">
      <w:pPr>
        <w:rPr>
          <w:b/>
        </w:rPr>
      </w:pPr>
      <w:r>
        <w:rPr>
          <w:b/>
        </w:rPr>
        <w:t xml:space="preserve">Fassung: </w:t>
      </w:r>
      <w:r w:rsidR="00D23A50">
        <w:rPr>
          <w:b/>
        </w:rPr>
        <w:t xml:space="preserve">April </w:t>
      </w:r>
      <w:r w:rsidR="004C345D">
        <w:rPr>
          <w:b/>
        </w:rPr>
        <w:t>202</w:t>
      </w:r>
      <w:r w:rsidR="00D23A50">
        <w:rPr>
          <w:b/>
        </w:rPr>
        <w:t>3</w:t>
      </w:r>
    </w:p>
    <w:p w:rsidR="008C0851" w:rsidRPr="008C0851" w:rsidRDefault="008C0851" w:rsidP="00B257D3">
      <w:pPr>
        <w:rPr>
          <w:sz w:val="16"/>
        </w:rPr>
      </w:pPr>
      <w:r>
        <w:rPr>
          <w:sz w:val="16"/>
        </w:rPr>
        <w:t>2019.JGK.5063</w:t>
      </w:r>
    </w:p>
    <w:p w:rsidR="00B257D3" w:rsidRPr="008C0851" w:rsidRDefault="004A41E9" w:rsidP="008C0851">
      <w:pPr>
        <w:pStyle w:val="Text85pt"/>
      </w:pPr>
      <w:r w:rsidRPr="00336989">
        <w:br w:type="page"/>
      </w:r>
    </w:p>
    <w:tbl>
      <w:tblPr>
        <w:tblW w:w="97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7326"/>
        <w:gridCol w:w="45"/>
      </w:tblGrid>
      <w:tr w:rsidR="00B257D3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B257D3" w:rsidRPr="00AE372D" w:rsidRDefault="00B257D3" w:rsidP="00B257D3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B257D3" w:rsidRPr="00AE372D" w:rsidRDefault="008C0851" w:rsidP="008C0851">
            <w:pPr>
              <w:rPr>
                <w:szCs w:val="21"/>
              </w:rPr>
            </w:pPr>
            <w:r>
              <w:t>Spezialfinanzierungsreglement gestützt auf Art. 87 der Gemeindeverordnung GV vom 16. Dezember 1998</w:t>
            </w:r>
            <w:r>
              <w:rPr>
                <w:rStyle w:val="Funotenzeichen"/>
              </w:rPr>
              <w:footnoteReference w:id="1"/>
            </w:r>
            <w:r>
              <w:t>.</w:t>
            </w:r>
          </w:p>
        </w:tc>
      </w:tr>
      <w:tr w:rsidR="008C0851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Pr="00AE372D" w:rsidRDefault="008C0851" w:rsidP="00B257D3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/>
        </w:tc>
      </w:tr>
      <w:tr w:rsidR="008C0851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Pr="00AE372D" w:rsidRDefault="008C0851" w:rsidP="00B257D3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/>
        </w:tc>
      </w:tr>
      <w:tr w:rsidR="008C0851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Pr="00AE372D" w:rsidRDefault="008C0851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Zweck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8C0851" w:rsidRPr="008C0851" w:rsidRDefault="008C0851" w:rsidP="00BA491C">
            <w:pPr>
              <w:pStyle w:val="Listenabsatz"/>
              <w:numPr>
                <w:ilvl w:val="0"/>
                <w:numId w:val="5"/>
              </w:numPr>
              <w:ind w:left="2" w:firstLine="0"/>
              <w:jc w:val="both"/>
              <w:rPr>
                <w:sz w:val="20"/>
              </w:rPr>
            </w:pPr>
            <w:r>
              <w:t>Die Spezialfinanzierung bezweckt die Bereitstellung von Mitteln zur Finanzierung der Bewirtschaftung der Gemeindewälder</w:t>
            </w:r>
            <w:r>
              <w:rPr>
                <w:rStyle w:val="Funotenzeichen"/>
              </w:rPr>
              <w:footnoteReference w:id="2"/>
            </w:r>
            <w:r>
              <w:t>.</w:t>
            </w:r>
          </w:p>
        </w:tc>
      </w:tr>
      <w:tr w:rsidR="008C0851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jc w:val="both"/>
            </w:pPr>
          </w:p>
        </w:tc>
      </w:tr>
      <w:tr w:rsidR="008C0851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pStyle w:val="Listenabsatz"/>
              <w:ind w:left="2"/>
              <w:jc w:val="both"/>
            </w:pPr>
          </w:p>
        </w:tc>
      </w:tr>
      <w:tr w:rsidR="008C0851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Cs w:val="21"/>
              </w:rPr>
            </w:pPr>
            <w:proofErr w:type="spellStart"/>
            <w:r w:rsidRPr="008C0851">
              <w:t>Äufnung</w:t>
            </w:r>
            <w:proofErr w:type="spellEnd"/>
            <w:r w:rsidRPr="008C0851">
              <w:t xml:space="preserve"> der</w:t>
            </w:r>
            <w:r>
              <w:t xml:space="preserve"> Spezialfinanzierung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BA491C">
            <w:pPr>
              <w:pStyle w:val="Listenabsatz"/>
              <w:numPr>
                <w:ilvl w:val="0"/>
                <w:numId w:val="5"/>
              </w:numPr>
              <w:ind w:left="0" w:firstLine="2"/>
            </w:pPr>
            <w:r w:rsidRPr="008C0851">
              <w:rPr>
                <w:vertAlign w:val="superscript"/>
              </w:rPr>
              <w:t>1</w:t>
            </w:r>
            <w:r w:rsidR="004C345D">
              <w:rPr>
                <w:vertAlign w:val="superscript"/>
              </w:rPr>
              <w:t xml:space="preserve"> </w:t>
            </w:r>
            <w:r w:rsidRPr="00640189">
              <w:t>Die Spezialfinanzierung</w:t>
            </w:r>
            <w:r w:rsidRPr="00640189">
              <w:rPr>
                <w:rStyle w:val="Funotenzeichen"/>
              </w:rPr>
              <w:footnoteReference w:id="3"/>
            </w:r>
            <w:r w:rsidRPr="00640189">
              <w:t xml:space="preserve"> wird am </w:t>
            </w:r>
            <w:r w:rsidRPr="00640189">
              <w:sym w:font="Wingdings" w:char="F06E"/>
            </w:r>
            <w:r w:rsidRPr="00640189">
              <w:sym w:font="Wingdings" w:char="F06E"/>
            </w:r>
            <w:r w:rsidRPr="00640189">
              <w:sym w:font="Wingdings" w:char="F06E"/>
            </w:r>
            <w:r w:rsidRPr="00640189">
              <w:t xml:space="preserve"> mit einem Betrag von CHF </w:t>
            </w:r>
            <w:r w:rsidRPr="00640189">
              <w:sym w:font="Wingdings" w:char="F06E"/>
            </w:r>
            <w:r w:rsidRPr="00640189">
              <w:sym w:font="Wingdings" w:char="F06E"/>
            </w:r>
            <w:r w:rsidRPr="00640189">
              <w:sym w:font="Wingdings" w:char="F06E"/>
            </w:r>
            <w:r w:rsidRPr="00640189">
              <w:t xml:space="preserve"> errichtet.</w:t>
            </w:r>
          </w:p>
        </w:tc>
      </w:tr>
      <w:tr w:rsidR="008C0851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8C0851" w:rsidRPr="00640189" w:rsidRDefault="008C0851" w:rsidP="008C0851">
            <w:pPr>
              <w:ind w:left="286" w:hanging="286"/>
            </w:pPr>
            <w:r>
              <w:rPr>
                <w:vertAlign w:val="superscript"/>
              </w:rPr>
              <w:t>2</w:t>
            </w:r>
            <w:r w:rsidR="004C345D">
              <w:rPr>
                <w:vertAlign w:val="superscript"/>
              </w:rPr>
              <w:t xml:space="preserve"> </w:t>
            </w:r>
            <w:r w:rsidRPr="00640189">
              <w:t xml:space="preserve">Der Spezialfinanzierung kann </w:t>
            </w:r>
            <w:r>
              <w:t>zugewiesen werden</w:t>
            </w:r>
          </w:p>
          <w:p w:rsidR="008C0851" w:rsidRPr="00640189" w:rsidRDefault="008C0851" w:rsidP="008C0851">
            <w:pPr>
              <w:ind w:left="569" w:hanging="286"/>
            </w:pPr>
            <w:r w:rsidRPr="00640189">
              <w:rPr>
                <w:i/>
              </w:rPr>
              <w:t>a</w:t>
            </w:r>
            <w:r w:rsidRPr="00640189">
              <w:rPr>
                <w:i/>
              </w:rPr>
              <w:tab/>
            </w:r>
            <w:r w:rsidRPr="00640189">
              <w:t>maximal die Höhe des jährlichen Nettoertrages aus der Waldbewirt</w:t>
            </w:r>
            <w:r>
              <w:t>schaftung,</w:t>
            </w:r>
          </w:p>
          <w:p w:rsidR="008C0851" w:rsidRPr="00640189" w:rsidRDefault="008C0851" w:rsidP="008C0851">
            <w:pPr>
              <w:ind w:left="569" w:hanging="286"/>
              <w:rPr>
                <w:sz w:val="20"/>
              </w:rPr>
            </w:pPr>
            <w:r w:rsidRPr="00640189">
              <w:rPr>
                <w:i/>
              </w:rPr>
              <w:t>b</w:t>
            </w:r>
            <w:r w:rsidRPr="00640189">
              <w:rPr>
                <w:i/>
              </w:rPr>
              <w:tab/>
            </w:r>
            <w:r w:rsidRPr="00640189">
              <w:t>Entschädigungen Dritter für Eingriffe, die eine Verminderung der Waldnutzung zur Folge haben.</w:t>
            </w: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4C345D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4C345D">
              <w:rPr>
                <w:vertAlign w:val="superscript"/>
              </w:rPr>
              <w:t xml:space="preserve"> </w:t>
            </w:r>
            <w:r w:rsidRPr="00640189">
              <w:t>Über die Höhe des einzulegenden Betrages entscheidet jährlich der Gemeinderat.</w:t>
            </w: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tabs>
                <w:tab w:val="left" w:pos="922"/>
              </w:tabs>
              <w:jc w:val="both"/>
              <w:rPr>
                <w:vertAlign w:val="superscript"/>
              </w:rPr>
            </w:pP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4C345D">
            <w:pPr>
              <w:tabs>
                <w:tab w:val="left" w:pos="213"/>
                <w:tab w:val="left" w:pos="922"/>
              </w:tabs>
              <w:jc w:val="both"/>
            </w:pPr>
            <w:r>
              <w:rPr>
                <w:vertAlign w:val="superscript"/>
              </w:rPr>
              <w:t>4</w:t>
            </w:r>
            <w:r w:rsidR="004C345D">
              <w:rPr>
                <w:vertAlign w:val="superscript"/>
              </w:rPr>
              <w:t xml:space="preserve"> </w:t>
            </w:r>
            <w:r w:rsidRPr="00640189">
              <w:t>Die Höhe der Spezialfinanzierung soll in der Regel dem einfachen bis doppelten Bruttojahresaufwand für die Bewirtschaftung der Gemeindewälder entsprechen.</w:t>
            </w: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tabs>
                <w:tab w:val="left" w:pos="922"/>
              </w:tabs>
              <w:jc w:val="both"/>
            </w:pP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tabs>
                <w:tab w:val="left" w:pos="922"/>
              </w:tabs>
              <w:jc w:val="both"/>
              <w:rPr>
                <w:vertAlign w:val="superscript"/>
              </w:rPr>
            </w:pP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  <w:r>
              <w:rPr>
                <w:sz w:val="18"/>
              </w:rPr>
              <w:t>Entnahmen aus der Spezialfinanzierung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BA491C">
            <w:pPr>
              <w:pStyle w:val="Listenabsatz"/>
              <w:numPr>
                <w:ilvl w:val="0"/>
                <w:numId w:val="5"/>
              </w:numPr>
              <w:ind w:left="55" w:hanging="11"/>
              <w:jc w:val="both"/>
            </w:pPr>
            <w:r w:rsidRPr="008C0851">
              <w:rPr>
                <w:vertAlign w:val="superscript"/>
              </w:rPr>
              <w:t>1</w:t>
            </w:r>
            <w:r w:rsidR="004C345D">
              <w:rPr>
                <w:vertAlign w:val="superscript"/>
              </w:rPr>
              <w:t xml:space="preserve"> </w:t>
            </w:r>
            <w:r w:rsidRPr="00640189">
              <w:t xml:space="preserve">Soweit der Bestand dafür ausreicht, dienen die Mittel der Spezialfinanzierung der Finanzierung von Verlusten der </w:t>
            </w:r>
            <w:r>
              <w:t>Erfolgsrechnung</w:t>
            </w:r>
            <w:r w:rsidRPr="00640189">
              <w:t xml:space="preserve"> und </w:t>
            </w:r>
            <w:r>
              <w:t>der</w:t>
            </w:r>
            <w:r w:rsidRPr="00640189">
              <w:t xml:space="preserve"> </w:t>
            </w:r>
            <w:r>
              <w:t>Abschreibungen von Investitionen</w:t>
            </w:r>
            <w:r w:rsidRPr="00640189">
              <w:t>.</w:t>
            </w: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tabs>
                <w:tab w:val="left" w:pos="922"/>
              </w:tabs>
              <w:jc w:val="both"/>
              <w:rPr>
                <w:vertAlign w:val="superscript"/>
              </w:rPr>
            </w:pP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Pr="00640189" w:rsidRDefault="008C0851" w:rsidP="004C345D">
            <w:pPr>
              <w:tabs>
                <w:tab w:val="left" w:pos="224"/>
                <w:tab w:val="left" w:pos="922"/>
              </w:tabs>
              <w:jc w:val="both"/>
              <w:rPr>
                <w:sz w:val="20"/>
              </w:rPr>
            </w:pPr>
            <w:r>
              <w:rPr>
                <w:vertAlign w:val="superscript"/>
              </w:rPr>
              <w:t>2</w:t>
            </w:r>
            <w:r w:rsidR="004C345D">
              <w:rPr>
                <w:vertAlign w:val="superscript"/>
              </w:rPr>
              <w:t xml:space="preserve"> </w:t>
            </w:r>
            <w:r w:rsidRPr="00640189">
              <w:t>Über die Höhe der zu entnehmenden Beträge beschliesst der Gemeinderat.</w:t>
            </w: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</w:rPr>
            </w:pP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tabs>
                <w:tab w:val="left" w:pos="213"/>
                <w:tab w:val="left" w:pos="922"/>
              </w:tabs>
              <w:jc w:val="both"/>
              <w:rPr>
                <w:vertAlign w:val="superscript"/>
              </w:rPr>
            </w:pPr>
          </w:p>
        </w:tc>
      </w:tr>
      <w:tr w:rsidR="008C0851" w:rsidTr="008C0851">
        <w:trPr>
          <w:trHeight w:val="2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rPr>
                <w:sz w:val="18"/>
              </w:rPr>
            </w:pPr>
            <w:r>
              <w:rPr>
                <w:sz w:val="18"/>
              </w:rPr>
              <w:t>Inkrafttreten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BA491C">
            <w:pPr>
              <w:pStyle w:val="Listenabsatz"/>
              <w:numPr>
                <w:ilvl w:val="0"/>
                <w:numId w:val="5"/>
              </w:numPr>
              <w:tabs>
                <w:tab w:val="left" w:pos="213"/>
                <w:tab w:val="left" w:pos="922"/>
              </w:tabs>
              <w:ind w:left="830" w:hanging="786"/>
              <w:jc w:val="both"/>
            </w:pPr>
            <w:r>
              <w:t xml:space="preserve">Dieses Reglement tritt am </w:t>
            </w:r>
            <w:r>
              <w:sym w:font="Wingdings" w:char="F06E"/>
            </w:r>
            <w:r>
              <w:sym w:font="Wingdings" w:char="F06E"/>
            </w:r>
            <w:r>
              <w:sym w:font="Wingdings" w:char="F06E"/>
            </w:r>
            <w:r>
              <w:t xml:space="preserve"> in Kraft.</w:t>
            </w:r>
          </w:p>
        </w:tc>
      </w:tr>
      <w:tr w:rsidR="008C0851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Pr="008C0851" w:rsidRDefault="008C0851" w:rsidP="008C0851">
            <w:pPr>
              <w:pStyle w:val="Marginale"/>
              <w:spacing w:line="275" w:lineRule="exact"/>
              <w:rPr>
                <w:sz w:val="21"/>
                <w:szCs w:val="21"/>
                <w:lang w:val="de-CH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8C0851" w:rsidRPr="008C0851" w:rsidRDefault="008C0851" w:rsidP="008C0851">
            <w:pPr>
              <w:pStyle w:val="Listenabsatz"/>
              <w:ind w:left="2"/>
              <w:rPr>
                <w:vertAlign w:val="superscript"/>
              </w:rPr>
            </w:pPr>
          </w:p>
        </w:tc>
      </w:tr>
      <w:tr w:rsidR="008C0851" w:rsidRPr="00AE372D" w:rsidTr="008C0851">
        <w:trPr>
          <w:gridAfter w:val="1"/>
          <w:wAfter w:w="45" w:type="dxa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8C0851" w:rsidRDefault="008C0851" w:rsidP="008C0851">
            <w:pPr>
              <w:pStyle w:val="Marginale"/>
              <w:spacing w:line="275" w:lineRule="exact"/>
              <w:rPr>
                <w:sz w:val="21"/>
                <w:szCs w:val="21"/>
              </w:rPr>
            </w:pP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8C0851" w:rsidRPr="008C0851" w:rsidRDefault="008C0851" w:rsidP="008C0851">
            <w:pPr>
              <w:pStyle w:val="Listenabsatz"/>
              <w:ind w:left="2"/>
              <w:rPr>
                <w:vertAlign w:val="superscript"/>
              </w:rPr>
            </w:pPr>
          </w:p>
        </w:tc>
      </w:tr>
    </w:tbl>
    <w:p w:rsidR="00BA491C" w:rsidRDefault="00BA491C" w:rsidP="00BA491C"/>
    <w:p w:rsidR="00BA491C" w:rsidRDefault="00BA491C" w:rsidP="00BA491C"/>
    <w:p w:rsidR="00BA491C" w:rsidRDefault="00BA491C" w:rsidP="00BA491C">
      <w:r>
        <w:t xml:space="preserve">Die Gemeindeversammlung vom </w:t>
      </w:r>
      <w:r>
        <w:sym w:font="Wingdings" w:char="F06E"/>
      </w:r>
      <w:r>
        <w:sym w:font="Wingdings" w:char="F06E"/>
      </w:r>
      <w:r>
        <w:sym w:font="Wingdings" w:char="F06E"/>
      </w:r>
      <w:r>
        <w:t xml:space="preserve"> hat dieses Reglement beschlossen.</w:t>
      </w:r>
    </w:p>
    <w:p w:rsidR="00BA491C" w:rsidRDefault="00BA491C" w:rsidP="00BA491C"/>
    <w:p w:rsidR="00BA491C" w:rsidRDefault="00BA491C" w:rsidP="00BA491C"/>
    <w:p w:rsidR="00BA491C" w:rsidRDefault="00BA491C" w:rsidP="00BA491C">
      <w:pPr>
        <w:pStyle w:val="Kopfzeile"/>
        <w:tabs>
          <w:tab w:val="left" w:pos="3402"/>
        </w:tabs>
      </w:pPr>
      <w:r>
        <w:sym w:font="Wingdings" w:char="F06E"/>
      </w:r>
      <w:r>
        <w:sym w:font="Wingdings" w:char="F06E"/>
      </w:r>
      <w:r>
        <w:sym w:font="Wingdings" w:char="F06E"/>
      </w:r>
      <w:r>
        <w:t xml:space="preserve">, </w:t>
      </w:r>
      <w:r>
        <w:sym w:font="Wingdings" w:char="F06E"/>
      </w:r>
      <w:r>
        <w:sym w:font="Wingdings" w:char="F06E"/>
      </w:r>
      <w:r>
        <w:sym w:font="Wingdings" w:char="F06E"/>
      </w:r>
      <w:r>
        <w:tab/>
      </w:r>
    </w:p>
    <w:p w:rsidR="00BA491C" w:rsidRDefault="00BA491C" w:rsidP="00BA491C">
      <w:pPr>
        <w:tabs>
          <w:tab w:val="left" w:pos="3402"/>
        </w:tabs>
      </w:pPr>
    </w:p>
    <w:p w:rsidR="00BA491C" w:rsidRDefault="00BA491C" w:rsidP="00BA491C">
      <w:pPr>
        <w:pStyle w:val="Kopfzeile"/>
        <w:tabs>
          <w:tab w:val="left" w:pos="3402"/>
          <w:tab w:val="left" w:pos="6521"/>
        </w:tabs>
      </w:pPr>
      <w:r>
        <w:tab/>
        <w:t>Der/die Präsident/in</w:t>
      </w:r>
      <w:r>
        <w:tab/>
        <w:t>Der/die Sekretär/in</w:t>
      </w:r>
    </w:p>
    <w:p w:rsidR="00BA491C" w:rsidRDefault="00BA491C" w:rsidP="00BA491C">
      <w:pPr>
        <w:pStyle w:val="Kopfzeile"/>
        <w:tabs>
          <w:tab w:val="left" w:pos="3402"/>
          <w:tab w:val="left" w:pos="6521"/>
        </w:tabs>
      </w:pPr>
    </w:p>
    <w:p w:rsidR="00BA491C" w:rsidRDefault="00BA491C" w:rsidP="00BA491C">
      <w:pPr>
        <w:pStyle w:val="Kopfzeile"/>
        <w:tabs>
          <w:tab w:val="left" w:pos="3402"/>
          <w:tab w:val="left" w:pos="6521"/>
        </w:tabs>
      </w:pPr>
    </w:p>
    <w:p w:rsidR="00BA491C" w:rsidRDefault="00BA491C" w:rsidP="00BA491C">
      <w:pPr>
        <w:pStyle w:val="Kopfzeile"/>
        <w:tabs>
          <w:tab w:val="left" w:pos="3402"/>
          <w:tab w:val="left" w:pos="5812"/>
          <w:tab w:val="left" w:pos="6521"/>
          <w:tab w:val="left" w:pos="8931"/>
        </w:tabs>
        <w:rPr>
          <w:u w:val="single"/>
        </w:rPr>
      </w:pP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BA491C" w:rsidRDefault="00BA491C" w:rsidP="00BA491C"/>
    <w:p w:rsidR="00BA491C" w:rsidRDefault="00BA491C" w:rsidP="00BA491C"/>
    <w:p w:rsidR="00BA491C" w:rsidRDefault="00BA491C" w:rsidP="00BA491C">
      <w:pPr>
        <w:pStyle w:val="berschrift1"/>
      </w:pPr>
      <w:r>
        <w:lastRenderedPageBreak/>
        <w:t>Auflagezeugnis</w:t>
      </w:r>
    </w:p>
    <w:p w:rsidR="00BA491C" w:rsidRDefault="00BA491C" w:rsidP="00BA491C">
      <w:r>
        <w:t xml:space="preserve">Die Gemeindeschreiberin/der Gemeindeschreiber hat dieses Reglement vom </w:t>
      </w:r>
      <w:r>
        <w:sym w:font="Wingdings" w:char="F06E"/>
      </w:r>
      <w:r>
        <w:sym w:font="Wingdings" w:char="F06E"/>
      </w:r>
      <w:r>
        <w:sym w:font="Wingdings" w:char="F06E"/>
      </w:r>
      <w:r>
        <w:t xml:space="preserve"> bis </w:t>
      </w:r>
      <w:r>
        <w:sym w:font="Wingdings" w:char="F06E"/>
      </w:r>
      <w:r>
        <w:sym w:font="Wingdings" w:char="F06E"/>
      </w:r>
      <w:r>
        <w:sym w:font="Wingdings" w:char="F06E"/>
      </w:r>
      <w:r>
        <w:t xml:space="preserve"> (dreissig Tage vor der beschlussfassenden Versammlung) in der Gemeindeverwaltung öffentlich aufgelegt. </w:t>
      </w:r>
      <w:r w:rsidR="00D23A50">
        <w:t>D</w:t>
      </w:r>
      <w:r>
        <w:t>ie Auflage</w:t>
      </w:r>
      <w:r w:rsidR="00D23A50">
        <w:t xml:space="preserve"> wurde</w:t>
      </w:r>
      <w:r>
        <w:t xml:space="preserve"> im amtlichen </w:t>
      </w:r>
      <w:r w:rsidR="00D23A50">
        <w:t>Publikationsorgan</w:t>
      </w:r>
      <w:r w:rsidR="00FC5F8C">
        <w:t xml:space="preserve"> der Gemeinde</w:t>
      </w:r>
      <w:r w:rsidR="00D23A50">
        <w:t xml:space="preserve"> am</w:t>
      </w:r>
      <w:r w:rsidR="00FC5F8C">
        <w:t xml:space="preserve"> </w:t>
      </w:r>
      <w:r w:rsidR="00D23A50">
        <w:t>…</w:t>
      </w:r>
      <w:r w:rsidR="00FC5F8C">
        <w:t xml:space="preserve"> </w:t>
      </w:r>
      <w:r w:rsidR="00D23A50">
        <w:t>publiziert</w:t>
      </w:r>
      <w:r>
        <w:t>.</w:t>
      </w:r>
    </w:p>
    <w:p w:rsidR="00BA491C" w:rsidRDefault="00BA491C" w:rsidP="00BA491C"/>
    <w:p w:rsidR="00BA491C" w:rsidRDefault="00BA491C" w:rsidP="00BA491C"/>
    <w:p w:rsidR="00BA491C" w:rsidRDefault="00BA491C" w:rsidP="00BA491C">
      <w:pPr>
        <w:pStyle w:val="Kopfzeile"/>
        <w:tabs>
          <w:tab w:val="left" w:pos="3402"/>
          <w:tab w:val="left" w:pos="6521"/>
        </w:tabs>
      </w:pPr>
      <w:r>
        <w:sym w:font="Wingdings" w:char="F06E"/>
      </w:r>
      <w:r>
        <w:sym w:font="Wingdings" w:char="F06E"/>
      </w:r>
      <w:r>
        <w:sym w:font="Wingdings" w:char="F06E"/>
      </w:r>
      <w:r>
        <w:t xml:space="preserve">, </w:t>
      </w:r>
      <w:r>
        <w:sym w:font="Wingdings" w:char="F06E"/>
      </w:r>
      <w:r>
        <w:sym w:font="Wingdings" w:char="F06E"/>
      </w:r>
      <w:r>
        <w:sym w:font="Wingdings" w:char="F06E"/>
      </w:r>
      <w:r>
        <w:tab/>
        <w:t>Die Gemeindeschreiberin/der Gemeindeschreiber:</w:t>
      </w:r>
    </w:p>
    <w:p w:rsidR="00BA491C" w:rsidRDefault="00BA491C" w:rsidP="00BA491C">
      <w:pPr>
        <w:pStyle w:val="Kopfzeile"/>
        <w:tabs>
          <w:tab w:val="left" w:pos="3402"/>
          <w:tab w:val="left" w:pos="6521"/>
        </w:tabs>
      </w:pPr>
    </w:p>
    <w:p w:rsidR="00BA491C" w:rsidRDefault="00BA491C" w:rsidP="00BA491C">
      <w:pPr>
        <w:pStyle w:val="Kopfzeile"/>
        <w:tabs>
          <w:tab w:val="left" w:pos="3402"/>
          <w:tab w:val="left" w:pos="6521"/>
        </w:tabs>
      </w:pPr>
    </w:p>
    <w:p w:rsidR="00760BEF" w:rsidRPr="00BA491C" w:rsidRDefault="00BA491C" w:rsidP="00BA491C">
      <w:pPr>
        <w:pStyle w:val="Kopfzeile"/>
        <w:tabs>
          <w:tab w:val="left" w:pos="3402"/>
          <w:tab w:val="left" w:pos="5812"/>
          <w:tab w:val="left" w:pos="6521"/>
          <w:tab w:val="left" w:pos="8931"/>
        </w:tabs>
        <w:rPr>
          <w:u w:val="single"/>
        </w:rPr>
      </w:pPr>
      <w:r>
        <w:tab/>
      </w:r>
      <w:r>
        <w:rPr>
          <w:u w:val="single"/>
        </w:rPr>
        <w:tab/>
      </w:r>
    </w:p>
    <w:sectPr w:rsidR="00760BEF" w:rsidRPr="00BA491C" w:rsidSect="006B55B7">
      <w:footerReference w:type="default" r:id="rId8"/>
      <w:footerReference w:type="first" r:id="rId9"/>
      <w:pgSz w:w="11907" w:h="16840" w:code="9"/>
      <w:pgMar w:top="1021" w:right="1134" w:bottom="1021" w:left="1418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3A" w:rsidRDefault="00775F3A" w:rsidP="00F91D37">
      <w:pPr>
        <w:spacing w:line="240" w:lineRule="auto"/>
      </w:pPr>
      <w:r>
        <w:separator/>
      </w:r>
    </w:p>
  </w:endnote>
  <w:endnote w:type="continuationSeparator" w:id="0">
    <w:p w:rsidR="00775F3A" w:rsidRDefault="00775F3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991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491C" w:rsidRDefault="00BA491C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F402E">
              <w:rPr>
                <w:b/>
                <w:noProof/>
              </w:rPr>
              <w:t>3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F402E">
              <w:rPr>
                <w:b/>
                <w:noProof/>
              </w:rPr>
              <w:t>3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8B311D" w:rsidRDefault="00BF402E">
    <w:pPr>
      <w:pStyle w:val="Fuzeile"/>
      <w:tabs>
        <w:tab w:val="right" w:pos="93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21839"/>
      <w:docPartObj>
        <w:docPartGallery w:val="Page Numbers (Bottom of Page)"/>
        <w:docPartUnique/>
      </w:docPartObj>
    </w:sdtPr>
    <w:sdtEndPr/>
    <w:sdtContent>
      <w:sdt>
        <w:sdtPr>
          <w:id w:val="-1050377252"/>
          <w:docPartObj>
            <w:docPartGallery w:val="Page Numbers (Top of Page)"/>
            <w:docPartUnique/>
          </w:docPartObj>
        </w:sdtPr>
        <w:sdtEndPr/>
        <w:sdtContent>
          <w:p w:rsidR="00BA491C" w:rsidRDefault="00BA491C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F402E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BF402E">
              <w:rPr>
                <w:b/>
                <w:noProof/>
              </w:rPr>
              <w:t>3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8B311D" w:rsidRDefault="00BF402E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3A" w:rsidRDefault="00775F3A" w:rsidP="00F91D37">
      <w:pPr>
        <w:spacing w:line="240" w:lineRule="auto"/>
      </w:pPr>
    </w:p>
    <w:p w:rsidR="00775F3A" w:rsidRDefault="00775F3A" w:rsidP="00F91D37">
      <w:pPr>
        <w:spacing w:line="240" w:lineRule="auto"/>
      </w:pPr>
    </w:p>
  </w:footnote>
  <w:footnote w:type="continuationSeparator" w:id="0">
    <w:p w:rsidR="00775F3A" w:rsidRDefault="00775F3A" w:rsidP="00F91D37">
      <w:pPr>
        <w:spacing w:line="240" w:lineRule="auto"/>
      </w:pPr>
      <w:r>
        <w:continuationSeparator/>
      </w:r>
    </w:p>
  </w:footnote>
  <w:footnote w:id="1">
    <w:p w:rsidR="008C0851" w:rsidRPr="00640189" w:rsidRDefault="008C0851" w:rsidP="00BA491C">
      <w:pPr>
        <w:pStyle w:val="Funotentext"/>
        <w:pBdr>
          <w:top w:val="single" w:sz="4" w:space="1" w:color="auto"/>
        </w:pBdr>
        <w:ind w:right="6406"/>
        <w:rPr>
          <w:sz w:val="16"/>
          <w:szCs w:val="16"/>
        </w:rPr>
      </w:pPr>
      <w:r w:rsidRPr="00640189">
        <w:rPr>
          <w:rStyle w:val="Funotenzeichen"/>
          <w:sz w:val="16"/>
          <w:szCs w:val="16"/>
        </w:rPr>
        <w:footnoteRef/>
      </w:r>
      <w:r w:rsidRPr="00640189">
        <w:rPr>
          <w:sz w:val="16"/>
          <w:szCs w:val="16"/>
        </w:rPr>
        <w:t xml:space="preserve"> BSG 170.111</w:t>
      </w:r>
    </w:p>
  </w:footnote>
  <w:footnote w:id="2">
    <w:p w:rsidR="008C0851" w:rsidRPr="00640189" w:rsidRDefault="008C0851" w:rsidP="008C0851">
      <w:pPr>
        <w:pStyle w:val="Funotentext"/>
        <w:numPr>
          <w:ilvl w:val="12"/>
          <w:numId w:val="0"/>
        </w:numPr>
        <w:rPr>
          <w:sz w:val="16"/>
          <w:szCs w:val="16"/>
        </w:rPr>
      </w:pPr>
      <w:r w:rsidRPr="00640189">
        <w:rPr>
          <w:rStyle w:val="Funotenzeichen"/>
          <w:sz w:val="16"/>
          <w:szCs w:val="16"/>
        </w:rPr>
        <w:footnoteRef/>
      </w:r>
      <w:r w:rsidRPr="0064018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Kontierung </w:t>
      </w:r>
      <w:r w:rsidRPr="00640189">
        <w:rPr>
          <w:sz w:val="16"/>
          <w:szCs w:val="16"/>
        </w:rPr>
        <w:t xml:space="preserve">Funktion </w:t>
      </w:r>
      <w:r>
        <w:rPr>
          <w:sz w:val="16"/>
          <w:szCs w:val="16"/>
        </w:rPr>
        <w:t>–820x (Forstwirtschaft)</w:t>
      </w:r>
    </w:p>
  </w:footnote>
  <w:footnote w:id="3">
    <w:p w:rsidR="008C0851" w:rsidRDefault="008C0851" w:rsidP="008C0851">
      <w:pPr>
        <w:pStyle w:val="Funotentext"/>
        <w:numPr>
          <w:ilvl w:val="12"/>
          <w:numId w:val="0"/>
        </w:numPr>
      </w:pPr>
      <w:r w:rsidRPr="00640189">
        <w:rPr>
          <w:rStyle w:val="Funotenzeichen"/>
          <w:sz w:val="16"/>
          <w:szCs w:val="16"/>
        </w:rPr>
        <w:footnoteRef/>
      </w:r>
      <w:r w:rsidRPr="00640189">
        <w:rPr>
          <w:sz w:val="16"/>
          <w:szCs w:val="16"/>
        </w:rPr>
        <w:t xml:space="preserve"> Spezialfinanzierung «Gemeindewälder» </w:t>
      </w:r>
      <w:r>
        <w:rPr>
          <w:sz w:val="16"/>
          <w:szCs w:val="16"/>
        </w:rPr>
        <w:t>Bilanzkonto293x (Vorfinanzierungen)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43B"/>
    <w:multiLevelType w:val="hybridMultilevel"/>
    <w:tmpl w:val="DAF8DBEE"/>
    <w:lvl w:ilvl="0" w:tplc="3A16A5A0">
      <w:start w:val="1"/>
      <w:numFmt w:val="decimal"/>
      <w:lvlText w:val="Art. %1"/>
      <w:lvlJc w:val="left"/>
      <w:pPr>
        <w:ind w:left="144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D3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4EE2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2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5937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269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45D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94A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B74DA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1FE9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5F3A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0851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27532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3EA1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E372D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57D3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91C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066B"/>
    <w:rsid w:val="00BE1E62"/>
    <w:rsid w:val="00BF402E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5FCB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23A50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62D9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C7B42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C5F8C"/>
    <w:rsid w:val="00FD161A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F99489D4-06E3-4862-B94E-2C4648F5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GrosserTitel">
    <w:name w:val="Grosser Titel"/>
    <w:basedOn w:val="Standard"/>
    <w:next w:val="Standard"/>
    <w:rsid w:val="00B257D3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bCs w:val="0"/>
      <w:spacing w:val="0"/>
      <w:sz w:val="52"/>
      <w:szCs w:val="20"/>
      <w:lang w:val="de-DE" w:eastAsia="de-CH"/>
    </w:rPr>
  </w:style>
  <w:style w:type="paragraph" w:customStyle="1" w:styleId="Marginale">
    <w:name w:val="Marginale"/>
    <w:basedOn w:val="Standard"/>
    <w:next w:val="Standard"/>
    <w:rsid w:val="00B257D3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Publikation%20ohne%20Titelbild%20BE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BA5A91D-2461-4D7A-A70D-487811E8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 ohne Titelbild BE.dotm</Template>
  <TotalTime>0</TotalTime>
  <Pages>3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Muster-Spezialfinanzierungsreglement Bewirtschaftung der Gemeindewälder</dc:title>
  <dc:creator/>
  <dc:description/>
  <cp:lastModifiedBy>Zurbuchen Kathrin, DIJ-AGR-GeM</cp:lastModifiedBy>
  <cp:revision>9</cp:revision>
  <cp:lastPrinted>2019-09-11T20:00:00Z</cp:lastPrinted>
  <dcterms:created xsi:type="dcterms:W3CDTF">2021-05-13T12:42:00Z</dcterms:created>
  <dcterms:modified xsi:type="dcterms:W3CDTF">2023-06-27T06:14:00Z</dcterms:modified>
</cp:coreProperties>
</file>