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1E9" w:rsidRPr="00336989" w:rsidRDefault="004A41E9" w:rsidP="004A41E9">
      <w:pPr>
        <w:spacing w:after="1700" w:line="276" w:lineRule="auto"/>
      </w:pPr>
      <w:bookmarkStart w:id="0" w:name="_GoBack"/>
      <w:bookmarkEnd w:id="0"/>
    </w:p>
    <w:p w:rsidR="004A41E9" w:rsidRPr="00336989" w:rsidRDefault="00F52FBD" w:rsidP="004A41E9">
      <w:pPr>
        <w:pStyle w:val="Text85pt"/>
      </w:pPr>
      <w:r>
        <w:t>Gemeindeverband</w:t>
      </w:r>
    </w:p>
    <w:p w:rsidR="004A41E9" w:rsidRPr="00336989" w:rsidRDefault="00F52FBD" w:rsidP="004A41E9">
      <w:pPr>
        <w:pStyle w:val="Titel"/>
      </w:pPr>
      <w:r>
        <w:t>Reglement</w:t>
      </w:r>
    </w:p>
    <w:p w:rsidR="004A41E9" w:rsidRPr="00336989" w:rsidRDefault="00F52FBD" w:rsidP="004A41E9">
      <w:pPr>
        <w:pStyle w:val="Untertitel"/>
      </w:pPr>
      <w:r>
        <w:t>Spezialfinanzierung Grabunterhalt</w:t>
      </w:r>
    </w:p>
    <w:p w:rsidR="008C2FAE" w:rsidRDefault="008C2FAE" w:rsidP="008C2FAE">
      <w:pPr>
        <w:pStyle w:val="Text85pt"/>
      </w:pPr>
      <w:bookmarkStart w:id="1" w:name="_Hlk19280792"/>
    </w:p>
    <w:p w:rsidR="008C2FAE" w:rsidRDefault="008C2FAE" w:rsidP="008C2FAE">
      <w:pPr>
        <w:pStyle w:val="Text85pt"/>
      </w:pPr>
    </w:p>
    <w:p w:rsidR="008C2FAE" w:rsidRDefault="008C2FAE" w:rsidP="008C2FAE">
      <w:pPr>
        <w:pStyle w:val="Text85pt"/>
      </w:pPr>
    </w:p>
    <w:p w:rsidR="008C2FAE" w:rsidRDefault="008C2FAE" w:rsidP="008C2FAE">
      <w:pPr>
        <w:pStyle w:val="Text85pt"/>
      </w:pPr>
    </w:p>
    <w:bookmarkEnd w:id="1"/>
    <w:p w:rsidR="004A41E9" w:rsidRDefault="00F52FBD" w:rsidP="00F52FBD">
      <w:pPr>
        <w:pStyle w:val="Text85pt"/>
        <w:rPr>
          <w:b/>
        </w:rPr>
      </w:pPr>
      <w:r>
        <w:rPr>
          <w:b/>
        </w:rPr>
        <w:t xml:space="preserve">Fassung: </w:t>
      </w:r>
      <w:r w:rsidR="005B3212">
        <w:rPr>
          <w:b/>
        </w:rPr>
        <w:t xml:space="preserve">April </w:t>
      </w:r>
      <w:r w:rsidR="00F1537F">
        <w:rPr>
          <w:b/>
        </w:rPr>
        <w:t>202</w:t>
      </w:r>
      <w:r w:rsidR="005B3212">
        <w:rPr>
          <w:b/>
        </w:rPr>
        <w:t>3</w:t>
      </w:r>
    </w:p>
    <w:p w:rsidR="00F52FBD" w:rsidRPr="00F52FBD" w:rsidRDefault="00F52FBD" w:rsidP="00F52FBD">
      <w:pPr>
        <w:pStyle w:val="Text85pt"/>
        <w:rPr>
          <w:sz w:val="16"/>
        </w:rPr>
      </w:pPr>
      <w:r>
        <w:rPr>
          <w:sz w:val="16"/>
        </w:rPr>
        <w:t>2019.JGK.5063</w:t>
      </w:r>
    </w:p>
    <w:p w:rsidR="004A41E9" w:rsidRPr="00336989" w:rsidRDefault="004A41E9" w:rsidP="008C2FAE">
      <w:pPr>
        <w:pStyle w:val="Text85pt"/>
      </w:pPr>
      <w:r w:rsidRPr="00336989">
        <w:br w:type="page"/>
      </w:r>
    </w:p>
    <w:tbl>
      <w:tblPr>
        <w:tblW w:w="0" w:type="auto"/>
        <w:tblLayout w:type="fixed"/>
        <w:tblCellMar>
          <w:left w:w="70" w:type="dxa"/>
          <w:right w:w="70" w:type="dxa"/>
        </w:tblCellMar>
        <w:tblLook w:val="0000" w:firstRow="0" w:lastRow="0" w:firstColumn="0" w:lastColumn="0" w:noHBand="0" w:noVBand="0"/>
      </w:tblPr>
      <w:tblGrid>
        <w:gridCol w:w="2197"/>
        <w:gridCol w:w="7015"/>
      </w:tblGrid>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pPr>
              <w:rPr>
                <w:b/>
              </w:rPr>
            </w:pPr>
            <w:r w:rsidRPr="00F52FBD">
              <w:rPr>
                <w:b/>
              </w:rPr>
              <w:t>Reglement über die Spezialfinanzierung Grabunterhalt</w:t>
            </w:r>
          </w:p>
        </w:tc>
      </w:tr>
      <w:tr w:rsidR="00F52FBD" w:rsidRPr="00F52FBD" w:rsidTr="009F34EE">
        <w:trPr>
          <w:trHeight w:val="7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r w:rsidRPr="00F52FBD">
              <w:br/>
              <w:t>(Spezialfinanzierungsreglement gestützt auf Art. 87 der Gemeindeverordnung (GV) vom 16. Dezember 1998)</w:t>
            </w: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r w:rsidRPr="00F52FBD">
              <w:t>Grundsatz/Zweck</w:t>
            </w:r>
          </w:p>
        </w:tc>
        <w:tc>
          <w:tcPr>
            <w:tcW w:w="7015" w:type="dxa"/>
            <w:tcBorders>
              <w:top w:val="nil"/>
              <w:left w:val="nil"/>
              <w:bottom w:val="nil"/>
              <w:right w:val="nil"/>
            </w:tcBorders>
          </w:tcPr>
          <w:p w:rsidR="00F52FBD" w:rsidRPr="00F52FBD" w:rsidRDefault="00F52FBD" w:rsidP="00F1537F">
            <w:pPr>
              <w:pStyle w:val="Listenabsatz"/>
              <w:numPr>
                <w:ilvl w:val="0"/>
                <w:numId w:val="26"/>
              </w:numPr>
              <w:ind w:left="0" w:firstLine="0"/>
            </w:pPr>
            <w:r w:rsidRPr="00F1537F">
              <w:rPr>
                <w:vertAlign w:val="superscript"/>
              </w:rPr>
              <w:t>1</w:t>
            </w:r>
            <w:r w:rsidR="00C03F59">
              <w:rPr>
                <w:vertAlign w:val="superscript"/>
              </w:rPr>
              <w:t xml:space="preserve"> </w:t>
            </w:r>
            <w:r w:rsidRPr="00F52FBD">
              <w:t>Der Grabunterhalt obliegt den Angehörigen (Art.</w:t>
            </w:r>
            <w:proofErr w:type="gramStart"/>
            <w:r w:rsidRPr="00F52FBD">
              <w:t xml:space="preserve"> ..</w:t>
            </w:r>
            <w:proofErr w:type="gramEnd"/>
            <w:r w:rsidRPr="00F52FBD">
              <w:t xml:space="preserve"> des Bestat</w:t>
            </w:r>
            <w:r>
              <w:t>tungs- und Friedhofreglements).</w:t>
            </w: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r w:rsidRPr="00F52FBD">
              <w:rPr>
                <w:vertAlign w:val="superscript"/>
              </w:rPr>
              <w:t>2</w:t>
            </w:r>
            <w:r w:rsidR="00C03F59">
              <w:rPr>
                <w:vertAlign w:val="superscript"/>
              </w:rPr>
              <w:t xml:space="preserve"> </w:t>
            </w:r>
            <w:r w:rsidRPr="00F52FBD">
              <w:t>Die Gemeinde besorgt gegen Entrichtung einer einmaligen Gebühr den Grabunterhalt während der ordentlichen Grabdauer von ... Jahren.</w:t>
            </w: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r w:rsidRPr="00F52FBD">
              <w:t>Bemessung</w:t>
            </w:r>
          </w:p>
        </w:tc>
        <w:tc>
          <w:tcPr>
            <w:tcW w:w="7015" w:type="dxa"/>
            <w:tcBorders>
              <w:top w:val="nil"/>
              <w:left w:val="nil"/>
              <w:bottom w:val="nil"/>
              <w:right w:val="nil"/>
            </w:tcBorders>
          </w:tcPr>
          <w:p w:rsidR="00F52FBD" w:rsidRPr="00F52FBD" w:rsidRDefault="00F52FBD" w:rsidP="00F1537F">
            <w:pPr>
              <w:pStyle w:val="Listenabsatz"/>
              <w:numPr>
                <w:ilvl w:val="0"/>
                <w:numId w:val="26"/>
              </w:numPr>
              <w:ind w:left="0" w:firstLine="0"/>
            </w:pPr>
            <w:r w:rsidRPr="00F1537F">
              <w:rPr>
                <w:vertAlign w:val="superscript"/>
              </w:rPr>
              <w:t>1</w:t>
            </w:r>
            <w:r w:rsidR="00C03F59">
              <w:rPr>
                <w:vertAlign w:val="superscript"/>
              </w:rPr>
              <w:t xml:space="preserve"> </w:t>
            </w:r>
            <w:r w:rsidRPr="00F52FBD">
              <w:t>Die Gebühr ist so zu bemessen, dass sie die voraussichtlichen Kosten des Unterhalts und der Bepflanzung während der ordentlichen Ruhedauer, unter Berücksichtigung eines angenommenen Zinses und der Teuerungsentwicklung, deckt.</w:t>
            </w: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pPr>
              <w:rPr>
                <w:vertAlign w:val="superscript"/>
              </w:rPr>
            </w:pP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r w:rsidRPr="00F52FBD">
              <w:rPr>
                <w:vertAlign w:val="superscript"/>
              </w:rPr>
              <w:t>2</w:t>
            </w:r>
            <w:r w:rsidR="00C03F59">
              <w:rPr>
                <w:vertAlign w:val="superscript"/>
              </w:rPr>
              <w:t xml:space="preserve"> </w:t>
            </w:r>
            <w:r w:rsidRPr="00F52FBD">
              <w:t xml:space="preserve">Der Unterhalt besteht </w:t>
            </w:r>
            <w:proofErr w:type="spellStart"/>
            <w:r w:rsidRPr="00F52FBD">
              <w:t>ordentlicherweise</w:t>
            </w:r>
            <w:proofErr w:type="spellEnd"/>
            <w:r w:rsidRPr="00F52FBD">
              <w:t xml:space="preserve"> aus jährlich zwei Bepflanzungen sowie dem Giessen des betroffenen Grabes.</w:t>
            </w: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pPr>
              <w:rPr>
                <w:vertAlign w:val="superscript"/>
              </w:rPr>
            </w:pP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r w:rsidRPr="00F52FBD">
              <w:rPr>
                <w:vertAlign w:val="superscript"/>
              </w:rPr>
              <w:t>3</w:t>
            </w:r>
            <w:r w:rsidR="00C03F59">
              <w:rPr>
                <w:vertAlign w:val="superscript"/>
              </w:rPr>
              <w:t xml:space="preserve"> </w:t>
            </w:r>
            <w:r w:rsidRPr="00F52FBD">
              <w:t>Der Verbandsrat legt die Gebühr innerhalb des Tarifes über die Grabstätten zum Bestattungs- und Friedhofreglement fest. Er unterscheidet dabei zwischen Sargreihengräbern, Urnengräbern und Familiengräbern.</w:t>
            </w:r>
          </w:p>
          <w:p w:rsidR="00F52FBD" w:rsidRPr="00F52FBD" w:rsidRDefault="00F52FBD" w:rsidP="00F52FBD">
            <w:pPr>
              <w:rPr>
                <w:i/>
                <w:iCs/>
              </w:rPr>
            </w:pPr>
            <w:r w:rsidRPr="00F52FBD">
              <w:rPr>
                <w:i/>
                <w:iCs/>
              </w:rPr>
              <w:t>(</w:t>
            </w:r>
            <w:r w:rsidRPr="00F52FBD">
              <w:rPr>
                <w:i/>
              </w:rPr>
              <w:t>Hinweis: Diese Bestimmung muss mit den geltenden Bestimmungen gemäss dem Spezialreglement in Einklang stehen!)</w:t>
            </w:r>
            <w:r w:rsidRPr="00F52FBD">
              <w:rPr>
                <w:i/>
                <w:iCs/>
              </w:rPr>
              <w:t xml:space="preserve"> </w:t>
            </w: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r w:rsidRPr="00F52FBD">
              <w:t>Rechnungs-</w:t>
            </w:r>
            <w:r w:rsidRPr="00F52FBD">
              <w:br/>
              <w:t>wesen</w:t>
            </w:r>
          </w:p>
        </w:tc>
        <w:tc>
          <w:tcPr>
            <w:tcW w:w="7015" w:type="dxa"/>
            <w:tcBorders>
              <w:top w:val="nil"/>
              <w:left w:val="nil"/>
              <w:bottom w:val="nil"/>
              <w:right w:val="nil"/>
            </w:tcBorders>
          </w:tcPr>
          <w:p w:rsidR="00F52FBD" w:rsidRPr="00F52FBD" w:rsidRDefault="00F52FBD" w:rsidP="00F1537F">
            <w:pPr>
              <w:pStyle w:val="Listenabsatz"/>
              <w:numPr>
                <w:ilvl w:val="0"/>
                <w:numId w:val="26"/>
              </w:numPr>
              <w:ind w:left="0" w:firstLine="0"/>
            </w:pPr>
            <w:r w:rsidRPr="00F1537F">
              <w:rPr>
                <w:vertAlign w:val="superscript"/>
              </w:rPr>
              <w:t>1</w:t>
            </w:r>
            <w:r w:rsidR="00C03F59">
              <w:rPr>
                <w:vertAlign w:val="superscript"/>
              </w:rPr>
              <w:t xml:space="preserve"> </w:t>
            </w:r>
            <w:r w:rsidRPr="00F52FBD">
              <w:t>Der Gebührenertrag und die Aufwendungen für den Grabunterhalt werden in separaten Konten in der Erfolgsrechnung innerhalb der Funktion 771x „Friedhof und Bestatt</w:t>
            </w:r>
            <w:r w:rsidR="00F1537F">
              <w:t>ung“ verbucht.</w:t>
            </w: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pPr>
              <w:rPr>
                <w:vertAlign w:val="superscript"/>
              </w:rPr>
            </w:pP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r w:rsidRPr="00F52FBD">
              <w:rPr>
                <w:vertAlign w:val="superscript"/>
              </w:rPr>
              <w:t>2</w:t>
            </w:r>
            <w:r w:rsidR="00C03F59">
              <w:rPr>
                <w:vertAlign w:val="superscript"/>
              </w:rPr>
              <w:t xml:space="preserve"> </w:t>
            </w:r>
            <w:r w:rsidRPr="00F52FBD">
              <w:t>Entsteht daraus ein Aufwand- oder Ertragsüberschuss, ist dieser über die „</w:t>
            </w:r>
            <w:r w:rsidRPr="00F52FBD">
              <w:rPr>
                <w:i/>
              </w:rPr>
              <w:t>Verpflichtung für die Spezialfinanzierung Grabunterhalt</w:t>
            </w:r>
            <w:r w:rsidRPr="00F52FBD">
              <w:t xml:space="preserve">“ (Kontierung SG 293x) </w:t>
            </w:r>
            <w:r>
              <w:t>auszugleichen.</w:t>
            </w: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r w:rsidRPr="00F52FBD">
              <w:rPr>
                <w:vertAlign w:val="superscript"/>
              </w:rPr>
              <w:t>3</w:t>
            </w:r>
            <w:r w:rsidR="00C03F59">
              <w:rPr>
                <w:vertAlign w:val="superscript"/>
              </w:rPr>
              <w:t xml:space="preserve"> </w:t>
            </w:r>
            <w:r w:rsidRPr="00F52FBD">
              <w:t>Die Verpflichtung für die Spezialfinanzierung wird verzinst.</w:t>
            </w: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pPr>
              <w:rPr>
                <w:vertAlign w:val="superscript"/>
              </w:rPr>
            </w:pP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pPr>
              <w:rPr>
                <w:vertAlign w:val="superscript"/>
              </w:rPr>
            </w:pPr>
            <w:r w:rsidRPr="00F52FBD">
              <w:rPr>
                <w:vertAlign w:val="superscript"/>
              </w:rPr>
              <w:t>4</w:t>
            </w:r>
            <w:r w:rsidR="00C03F59">
              <w:rPr>
                <w:vertAlign w:val="superscript"/>
              </w:rPr>
              <w:t xml:space="preserve"> </w:t>
            </w:r>
            <w:r w:rsidRPr="00F52FBD">
              <w:t>Ein allenfalls später zu hoher Bestand in der Verpflichtung für die Spezialfinanzierung Grabunterhalt kann für allgemeine Friedhofzwecke verwendet werden.</w:t>
            </w: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pPr>
              <w:rPr>
                <w:vertAlign w:val="superscript"/>
              </w:rPr>
            </w:pP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r w:rsidRPr="00F52FBD">
              <w:rPr>
                <w:vertAlign w:val="superscript"/>
              </w:rPr>
              <w:t>5</w:t>
            </w:r>
            <w:r w:rsidR="00C03F59">
              <w:rPr>
                <w:vertAlign w:val="superscript"/>
              </w:rPr>
              <w:t xml:space="preserve"> </w:t>
            </w:r>
            <w:r w:rsidRPr="00F52FBD">
              <w:t xml:space="preserve">Falls über mehrere Jahre keine zusätzliche Einlagen getätigt werden und so die langfristige Finanzierung der Grabunterhalte nicht gesichert ist, kann die Spezialfinanzierung durch jährliche Beiträge der Verbandsgemeinden bis maximal Fr. xx (jährlich pro Verbandsgemeinde) </w:t>
            </w:r>
            <w:proofErr w:type="spellStart"/>
            <w:r w:rsidRPr="00F52FBD">
              <w:t>geäufnet</w:t>
            </w:r>
            <w:proofErr w:type="spellEnd"/>
            <w:r w:rsidRPr="00F52FBD">
              <w:t xml:space="preserve"> werden.</w:t>
            </w: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r w:rsidRPr="00F52FBD">
              <w:t>Bisherige Zahlungen;</w:t>
            </w:r>
            <w:r w:rsidRPr="00F52FBD">
              <w:br/>
              <w:t>Übergangsregelung</w:t>
            </w:r>
          </w:p>
        </w:tc>
        <w:tc>
          <w:tcPr>
            <w:tcW w:w="7015" w:type="dxa"/>
            <w:tcBorders>
              <w:top w:val="nil"/>
              <w:left w:val="nil"/>
              <w:bottom w:val="nil"/>
              <w:right w:val="nil"/>
            </w:tcBorders>
          </w:tcPr>
          <w:p w:rsidR="00F52FBD" w:rsidRPr="00F52FBD" w:rsidRDefault="00F52FBD" w:rsidP="00F1537F">
            <w:pPr>
              <w:pStyle w:val="Listenabsatz"/>
              <w:numPr>
                <w:ilvl w:val="0"/>
                <w:numId w:val="26"/>
              </w:numPr>
              <w:ind w:left="0" w:firstLine="0"/>
            </w:pPr>
            <w:r w:rsidRPr="00F1537F">
              <w:rPr>
                <w:vertAlign w:val="superscript"/>
              </w:rPr>
              <w:t>1</w:t>
            </w:r>
            <w:r w:rsidR="00C03F59">
              <w:rPr>
                <w:vertAlign w:val="superscript"/>
              </w:rPr>
              <w:t xml:space="preserve"> </w:t>
            </w:r>
            <w:r w:rsidRPr="00F52FBD">
              <w:t>Alle bis zum Inkrafttreten dieses Reglements geleisteten Zahlungen für Grabunterhalt werden der Verpflichtung für die S</w:t>
            </w:r>
            <w:r>
              <w:t>pezialfinanzierung zugewiesen.</w:t>
            </w: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r w:rsidRPr="00F52FBD">
              <w:rPr>
                <w:vertAlign w:val="superscript"/>
              </w:rPr>
              <w:t>2</w:t>
            </w:r>
            <w:r w:rsidR="00C03F59">
              <w:rPr>
                <w:vertAlign w:val="superscript"/>
              </w:rPr>
              <w:t xml:space="preserve"> </w:t>
            </w:r>
            <w:r w:rsidRPr="00F52FBD">
              <w:t>Die Gebühr gilt mit dieser Zuweisung für die restliche Grabdauer bestehender Gräber als bezahlt.</w:t>
            </w: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r w:rsidRPr="00F52FBD">
              <w:t>Streitigkeiten</w:t>
            </w:r>
          </w:p>
        </w:tc>
        <w:tc>
          <w:tcPr>
            <w:tcW w:w="7015" w:type="dxa"/>
            <w:tcBorders>
              <w:top w:val="nil"/>
              <w:left w:val="nil"/>
              <w:bottom w:val="nil"/>
              <w:right w:val="nil"/>
            </w:tcBorders>
          </w:tcPr>
          <w:p w:rsidR="00F52FBD" w:rsidRPr="00F52FBD" w:rsidRDefault="00F52FBD" w:rsidP="00F1537F">
            <w:pPr>
              <w:pStyle w:val="Listenabsatz"/>
              <w:numPr>
                <w:ilvl w:val="0"/>
                <w:numId w:val="26"/>
              </w:numPr>
              <w:ind w:left="0" w:firstLine="0"/>
            </w:pPr>
            <w:r w:rsidRPr="00F1537F">
              <w:rPr>
                <w:vertAlign w:val="superscript"/>
              </w:rPr>
              <w:t>1</w:t>
            </w:r>
            <w:r w:rsidRPr="00F52FBD">
              <w:t xml:space="preserve"> Bei Streitigkeiten richtet sich das Verfahren nach dem Gesetz übe</w:t>
            </w:r>
            <w:r>
              <w:t>r die Verwaltungsrechtspflege.</w:t>
            </w: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pPr>
              <w:rPr>
                <w:vertAlign w:val="superscript"/>
              </w:rPr>
            </w:pPr>
          </w:p>
        </w:tc>
      </w:tr>
      <w:tr w:rsidR="00F52FBD" w:rsidRPr="00F52FBD" w:rsidTr="009F34EE">
        <w:trPr>
          <w:trHeight w:val="20"/>
        </w:trPr>
        <w:tc>
          <w:tcPr>
            <w:tcW w:w="2197" w:type="dxa"/>
            <w:tcBorders>
              <w:top w:val="nil"/>
              <w:left w:val="nil"/>
              <w:bottom w:val="nil"/>
              <w:right w:val="nil"/>
            </w:tcBorders>
          </w:tcPr>
          <w:p w:rsidR="00F52FBD" w:rsidRPr="00F52FBD" w:rsidRDefault="00F52FBD" w:rsidP="00F52FBD"/>
        </w:tc>
        <w:tc>
          <w:tcPr>
            <w:tcW w:w="7015" w:type="dxa"/>
            <w:tcBorders>
              <w:top w:val="nil"/>
              <w:left w:val="nil"/>
              <w:bottom w:val="nil"/>
              <w:right w:val="nil"/>
            </w:tcBorders>
          </w:tcPr>
          <w:p w:rsidR="00F52FBD" w:rsidRPr="00F52FBD" w:rsidRDefault="00F52FBD" w:rsidP="00F52FBD">
            <w:pPr>
              <w:rPr>
                <w:vertAlign w:val="superscript"/>
              </w:rPr>
            </w:pPr>
            <w:r w:rsidRPr="00F52FBD">
              <w:rPr>
                <w:vertAlign w:val="superscript"/>
              </w:rPr>
              <w:t>2</w:t>
            </w:r>
            <w:r w:rsidR="00C03F59">
              <w:rPr>
                <w:vertAlign w:val="superscript"/>
              </w:rPr>
              <w:t xml:space="preserve"> </w:t>
            </w:r>
            <w:r w:rsidRPr="00F52FBD">
              <w:t>Soweit Angehörige mit der Zuweisung gemäss Art. 4 nicht einverstanden sind, gelten die Bestimmungen des Obligationenrechtes über den Auftrag. Streitigkeiten entscheiden die Zivilgerichte.</w:t>
            </w:r>
          </w:p>
        </w:tc>
      </w:tr>
    </w:tbl>
    <w:p w:rsidR="00F52FBD" w:rsidRPr="00F52FBD" w:rsidRDefault="00F52FBD" w:rsidP="00F52FBD"/>
    <w:p w:rsidR="00F52FBD" w:rsidRPr="00F52FBD" w:rsidRDefault="00F52FBD" w:rsidP="00F52FBD"/>
    <w:p w:rsidR="00F52FBD" w:rsidRPr="00F52FBD" w:rsidRDefault="00F52FBD" w:rsidP="00F52FBD"/>
    <w:p w:rsidR="00F52FBD" w:rsidRPr="00F52FBD" w:rsidRDefault="00F52FBD" w:rsidP="00F52FBD"/>
    <w:p w:rsidR="00F52FBD" w:rsidRPr="00F52FBD" w:rsidRDefault="00F52FBD" w:rsidP="00F52FBD">
      <w:r w:rsidRPr="00F52FBD">
        <w:t xml:space="preserve">Beraten und beschlossen durch ……………… </w:t>
      </w:r>
      <w:r w:rsidR="00C03F59">
        <w:t xml:space="preserve">(zuständiges Organ gemäss OgR) </w:t>
      </w:r>
      <w:r w:rsidRPr="00F52FBD">
        <w:t>am............ Das Reglement tritt am ........................in Kraft.</w:t>
      </w:r>
    </w:p>
    <w:p w:rsidR="00F52FBD" w:rsidRPr="00F52FBD" w:rsidRDefault="00F52FBD" w:rsidP="00F52FBD"/>
    <w:p w:rsidR="00F52FBD" w:rsidRPr="00F52FBD" w:rsidRDefault="00F52FBD" w:rsidP="00F52FBD"/>
    <w:p w:rsidR="00F52FBD" w:rsidRDefault="00F52FBD" w:rsidP="00F52FBD">
      <w:pPr>
        <w:tabs>
          <w:tab w:val="right" w:pos="3969"/>
          <w:tab w:val="left" w:pos="5103"/>
          <w:tab w:val="right" w:pos="9072"/>
        </w:tabs>
      </w:pPr>
      <w:r>
        <w:t>Der/Die Präsidentin:</w:t>
      </w:r>
      <w:r>
        <w:tab/>
      </w:r>
      <w:r>
        <w:tab/>
        <w:t>Der/Die Sekretärin:</w:t>
      </w:r>
    </w:p>
    <w:p w:rsidR="00F52FBD" w:rsidRDefault="00F52FBD" w:rsidP="00F52FBD">
      <w:pPr>
        <w:tabs>
          <w:tab w:val="right" w:pos="3969"/>
          <w:tab w:val="left" w:pos="5103"/>
          <w:tab w:val="right" w:pos="9072"/>
        </w:tabs>
      </w:pPr>
    </w:p>
    <w:p w:rsidR="00F52FBD" w:rsidRDefault="00F52FBD" w:rsidP="00F52FBD">
      <w:pPr>
        <w:tabs>
          <w:tab w:val="right" w:pos="3969"/>
          <w:tab w:val="left" w:pos="5103"/>
          <w:tab w:val="right" w:pos="9072"/>
        </w:tabs>
      </w:pPr>
    </w:p>
    <w:p w:rsidR="00F52FBD" w:rsidRPr="00F52FBD" w:rsidRDefault="00F52FBD" w:rsidP="00F52FBD">
      <w:pPr>
        <w:tabs>
          <w:tab w:val="right" w:leader="dot" w:pos="3969"/>
          <w:tab w:val="left" w:pos="5103"/>
          <w:tab w:val="right" w:leader="dot" w:pos="9072"/>
        </w:tabs>
      </w:pPr>
      <w:r>
        <w:tab/>
      </w:r>
      <w:r>
        <w:tab/>
      </w:r>
      <w:r>
        <w:tab/>
      </w:r>
    </w:p>
    <w:p w:rsidR="00F52FBD" w:rsidRPr="00F52FBD" w:rsidRDefault="00F52FBD" w:rsidP="00F52FBD"/>
    <w:p w:rsidR="00F52FBD" w:rsidRPr="00F52FBD" w:rsidRDefault="00F52FBD" w:rsidP="00F52FBD"/>
    <w:p w:rsidR="00F52FBD" w:rsidRPr="00F52FBD" w:rsidRDefault="00F52FBD" w:rsidP="00F52FBD">
      <w:r w:rsidRPr="00F52FBD">
        <w:rPr>
          <w:u w:val="single"/>
        </w:rPr>
        <w:t>Auflagezeugnis</w:t>
      </w:r>
    </w:p>
    <w:p w:rsidR="00F52FBD" w:rsidRPr="00F52FBD" w:rsidRDefault="00F52FBD" w:rsidP="00F52FBD">
      <w:r w:rsidRPr="00F52FBD">
        <w:t xml:space="preserve">Die Verbandschreiberin/Der Verbandschreiber hat dieses Reglement vom ........bis......... (dreissig Tage vor der Beschlussfassung) im Verbandssekretariat öffentlich aufgelegt. </w:t>
      </w:r>
      <w:r w:rsidR="005B3212">
        <w:t>D</w:t>
      </w:r>
      <w:r w:rsidRPr="00F52FBD">
        <w:t xml:space="preserve">ie Auflage </w:t>
      </w:r>
      <w:r w:rsidR="005B3212">
        <w:t xml:space="preserve">wurde </w:t>
      </w:r>
      <w:r w:rsidR="006B50EC">
        <w:t>in den</w:t>
      </w:r>
      <w:r w:rsidR="006B50EC" w:rsidRPr="00F52FBD">
        <w:t xml:space="preserve"> </w:t>
      </w:r>
      <w:r w:rsidRPr="00F52FBD">
        <w:t xml:space="preserve">amtlichen </w:t>
      </w:r>
      <w:r w:rsidR="005B3212">
        <w:t>Publikationsorgan</w:t>
      </w:r>
      <w:r w:rsidR="006B50EC">
        <w:t>en</w:t>
      </w:r>
      <w:r w:rsidR="005B3212">
        <w:t xml:space="preserve"> </w:t>
      </w:r>
      <w:r w:rsidR="00236952">
        <w:t xml:space="preserve">der Verbandsgemeinden </w:t>
      </w:r>
      <w:r w:rsidR="005B3212">
        <w:t>am … publiziert</w:t>
      </w:r>
      <w:r w:rsidRPr="00F52FBD">
        <w:t>.</w:t>
      </w:r>
    </w:p>
    <w:p w:rsidR="00F52FBD" w:rsidRPr="00F52FBD" w:rsidRDefault="00F52FBD" w:rsidP="00F52FBD"/>
    <w:p w:rsidR="00F52FBD" w:rsidRPr="00F52FBD" w:rsidRDefault="00F52FBD" w:rsidP="00F52FBD"/>
    <w:p w:rsidR="00F52FBD" w:rsidRPr="00F52FBD" w:rsidRDefault="00F52FBD" w:rsidP="00F52FBD"/>
    <w:p w:rsidR="00F52FBD" w:rsidRDefault="00F52FBD" w:rsidP="00F52FBD">
      <w:pPr>
        <w:tabs>
          <w:tab w:val="left" w:pos="5103"/>
          <w:tab w:val="right" w:pos="9072"/>
        </w:tabs>
      </w:pPr>
      <w:r>
        <w:t>Datum</w:t>
      </w:r>
      <w:r>
        <w:tab/>
      </w:r>
      <w:r w:rsidRPr="00F52FBD">
        <w:t>Der/Die Verbandschreiber/in:</w:t>
      </w:r>
    </w:p>
    <w:p w:rsidR="00F52FBD" w:rsidRDefault="00F52FBD" w:rsidP="00F52FBD">
      <w:pPr>
        <w:tabs>
          <w:tab w:val="left" w:pos="5103"/>
          <w:tab w:val="right" w:pos="9072"/>
        </w:tabs>
      </w:pPr>
    </w:p>
    <w:p w:rsidR="00F52FBD" w:rsidRPr="00F52FBD" w:rsidRDefault="00F52FBD" w:rsidP="00F52FBD">
      <w:pPr>
        <w:tabs>
          <w:tab w:val="left" w:pos="5103"/>
          <w:tab w:val="right" w:pos="9072"/>
        </w:tabs>
      </w:pPr>
    </w:p>
    <w:p w:rsidR="00760BEF" w:rsidRPr="00336989" w:rsidRDefault="00F1537F" w:rsidP="00F1537F">
      <w:pPr>
        <w:tabs>
          <w:tab w:val="right" w:leader="dot" w:pos="4536"/>
          <w:tab w:val="left" w:pos="5103"/>
          <w:tab w:val="right" w:leader="dot" w:pos="9072"/>
        </w:tabs>
      </w:pPr>
      <w:r>
        <w:tab/>
      </w:r>
      <w:r w:rsidR="00F52FBD">
        <w:tab/>
      </w:r>
      <w:r w:rsidR="00F52FBD">
        <w:tab/>
      </w:r>
    </w:p>
    <w:sectPr w:rsidR="00760BEF" w:rsidRPr="00336989" w:rsidSect="007254A0">
      <w:footerReference w:type="default" r:id="rId8"/>
      <w:headerReference w:type="first" r:id="rId9"/>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E2E" w:rsidRDefault="001C1E2E" w:rsidP="00F91D37">
      <w:pPr>
        <w:spacing w:line="240" w:lineRule="auto"/>
      </w:pPr>
      <w:r>
        <w:separator/>
      </w:r>
    </w:p>
  </w:endnote>
  <w:endnote w:type="continuationSeparator" w:id="0">
    <w:p w:rsidR="001C1E2E" w:rsidRDefault="001C1E2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665295"/>
      <w:docPartObj>
        <w:docPartGallery w:val="Page Numbers (Bottom of Page)"/>
        <w:docPartUnique/>
      </w:docPartObj>
    </w:sdtPr>
    <w:sdtEndPr/>
    <w:sdtContent>
      <w:sdt>
        <w:sdtPr>
          <w:id w:val="-1769616900"/>
          <w:docPartObj>
            <w:docPartGallery w:val="Page Numbers (Top of Page)"/>
            <w:docPartUnique/>
          </w:docPartObj>
        </w:sdtPr>
        <w:sdtEndPr/>
        <w:sdtContent>
          <w:p w:rsidR="00F52FBD" w:rsidRDefault="00F52FBD">
            <w:pPr>
              <w:pStyle w:val="Fuzeile"/>
              <w:jc w:val="right"/>
            </w:pPr>
            <w:r>
              <w:rPr>
                <w:lang w:val="de-DE"/>
              </w:rPr>
              <w:t xml:space="preserve">Seite </w:t>
            </w:r>
            <w:r>
              <w:rPr>
                <w:b/>
                <w:bCs w:val="0"/>
                <w:sz w:val="24"/>
                <w:szCs w:val="24"/>
              </w:rPr>
              <w:fldChar w:fldCharType="begin"/>
            </w:r>
            <w:r>
              <w:rPr>
                <w:b/>
              </w:rPr>
              <w:instrText>PAGE</w:instrText>
            </w:r>
            <w:r>
              <w:rPr>
                <w:b/>
                <w:bCs w:val="0"/>
                <w:sz w:val="24"/>
                <w:szCs w:val="24"/>
              </w:rPr>
              <w:fldChar w:fldCharType="separate"/>
            </w:r>
            <w:r w:rsidR="00375534">
              <w:rPr>
                <w:b/>
                <w:noProof/>
              </w:rPr>
              <w:t>3</w:t>
            </w:r>
            <w:r>
              <w:rPr>
                <w:b/>
                <w:bCs w:val="0"/>
                <w:sz w:val="24"/>
                <w:szCs w:val="24"/>
              </w:rPr>
              <w:fldChar w:fldCharType="end"/>
            </w:r>
            <w:r>
              <w:rPr>
                <w:lang w:val="de-DE"/>
              </w:rPr>
              <w:t xml:space="preserve"> von </w:t>
            </w:r>
            <w:r>
              <w:rPr>
                <w:b/>
                <w:bCs w:val="0"/>
                <w:sz w:val="24"/>
                <w:szCs w:val="24"/>
              </w:rPr>
              <w:fldChar w:fldCharType="begin"/>
            </w:r>
            <w:r>
              <w:rPr>
                <w:b/>
              </w:rPr>
              <w:instrText>NUMPAGES</w:instrText>
            </w:r>
            <w:r>
              <w:rPr>
                <w:b/>
                <w:bCs w:val="0"/>
                <w:sz w:val="24"/>
                <w:szCs w:val="24"/>
              </w:rPr>
              <w:fldChar w:fldCharType="separate"/>
            </w:r>
            <w:r w:rsidR="00375534">
              <w:rPr>
                <w:b/>
                <w:noProof/>
              </w:rPr>
              <w:t>3</w:t>
            </w:r>
            <w:r>
              <w:rPr>
                <w:b/>
                <w:bCs w:val="0"/>
                <w:sz w:val="24"/>
                <w:szCs w:val="24"/>
              </w:rPr>
              <w:fldChar w:fldCharType="end"/>
            </w:r>
          </w:p>
        </w:sdtContent>
      </w:sdt>
    </w:sdtContent>
  </w:sdt>
  <w:p w:rsidR="00797FDE" w:rsidRPr="00BD4A9C" w:rsidRDefault="00797FDE" w:rsidP="006327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E2E" w:rsidRDefault="001C1E2E" w:rsidP="00F91D37">
      <w:pPr>
        <w:spacing w:line="240" w:lineRule="auto"/>
      </w:pPr>
    </w:p>
    <w:p w:rsidR="001C1E2E" w:rsidRDefault="001C1E2E" w:rsidP="00F91D37">
      <w:pPr>
        <w:spacing w:line="240" w:lineRule="auto"/>
      </w:pPr>
    </w:p>
  </w:footnote>
  <w:footnote w:type="continuationSeparator" w:id="0">
    <w:p w:rsidR="001C1E2E" w:rsidRDefault="001C1E2E"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8E75306"/>
    <w:multiLevelType w:val="hybridMultilevel"/>
    <w:tmpl w:val="41C0F7CA"/>
    <w:lvl w:ilvl="0" w:tplc="138A0AF4">
      <w:start w:val="1"/>
      <w:numFmt w:val="decimal"/>
      <w:lvlText w:val="Art. %1"/>
      <w:lvlJc w:val="left"/>
      <w:pPr>
        <w:ind w:left="720" w:hanging="360"/>
      </w:pPr>
      <w:rPr>
        <w:rFonts w:ascii="Arial" w:hAnsi="Arial" w:hint="default"/>
        <w:b/>
        <w:i w:val="0"/>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4"/>
  </w:num>
  <w:num w:numId="14">
    <w:abstractNumId w:val="24"/>
  </w:num>
  <w:num w:numId="15">
    <w:abstractNumId w:val="23"/>
  </w:num>
  <w:num w:numId="16">
    <w:abstractNumId w:val="10"/>
  </w:num>
  <w:num w:numId="17">
    <w:abstractNumId w:val="1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9"/>
  </w:num>
  <w:num w:numId="22">
    <w:abstractNumId w:val="18"/>
  </w:num>
  <w:num w:numId="23">
    <w:abstractNumId w:val="11"/>
  </w:num>
  <w:num w:numId="24">
    <w:abstractNumId w:val="16"/>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BD"/>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1E2E"/>
    <w:rsid w:val="001C4D4E"/>
    <w:rsid w:val="001E2720"/>
    <w:rsid w:val="001E3FF4"/>
    <w:rsid w:val="001F2AA2"/>
    <w:rsid w:val="001F4671"/>
    <w:rsid w:val="001F4A7E"/>
    <w:rsid w:val="001F4B8C"/>
    <w:rsid w:val="001F5DB0"/>
    <w:rsid w:val="001F7593"/>
    <w:rsid w:val="002008D7"/>
    <w:rsid w:val="00203AF7"/>
    <w:rsid w:val="002141FD"/>
    <w:rsid w:val="002214E4"/>
    <w:rsid w:val="00224C53"/>
    <w:rsid w:val="00224C9B"/>
    <w:rsid w:val="00225571"/>
    <w:rsid w:val="0022685B"/>
    <w:rsid w:val="0023205B"/>
    <w:rsid w:val="00236952"/>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0E7A"/>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534"/>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724"/>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3212"/>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50EC"/>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9B1"/>
    <w:rsid w:val="00824CE1"/>
    <w:rsid w:val="00832D99"/>
    <w:rsid w:val="00833373"/>
    <w:rsid w:val="00834F3F"/>
    <w:rsid w:val="00835B0B"/>
    <w:rsid w:val="00840F59"/>
    <w:rsid w:val="00841B44"/>
    <w:rsid w:val="00843302"/>
    <w:rsid w:val="00843E1D"/>
    <w:rsid w:val="008441CC"/>
    <w:rsid w:val="00844DF7"/>
    <w:rsid w:val="008458C8"/>
    <w:rsid w:val="0084639C"/>
    <w:rsid w:val="0085281F"/>
    <w:rsid w:val="00853B4E"/>
    <w:rsid w:val="00856665"/>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2769"/>
    <w:rsid w:val="008C2FAE"/>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10AF"/>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7052"/>
    <w:rsid w:val="00C034B4"/>
    <w:rsid w:val="00C03F59"/>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3829"/>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37F"/>
    <w:rsid w:val="00F1552A"/>
    <w:rsid w:val="00F16C91"/>
    <w:rsid w:val="00F25768"/>
    <w:rsid w:val="00F32B93"/>
    <w:rsid w:val="00F37F4F"/>
    <w:rsid w:val="00F417C0"/>
    <w:rsid w:val="00F51185"/>
    <w:rsid w:val="00F52CAB"/>
    <w:rsid w:val="00F52FBD"/>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161A"/>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C50BFD4B-5107-4440-BC1C-AF21DED1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0F955401-E87B-4DD3-B91C-C47B25ED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Muster-Spezialfinanzierungsreglement Grabunterhalt Gemeindeverband</dc:title>
  <dc:creator/>
  <dc:description/>
  <cp:lastModifiedBy>Zurbuchen Kathrin, DIJ-AGR-GeM</cp:lastModifiedBy>
  <cp:revision>7</cp:revision>
  <cp:lastPrinted>2019-09-11T20:00:00Z</cp:lastPrinted>
  <dcterms:created xsi:type="dcterms:W3CDTF">2022-03-16T09:41:00Z</dcterms:created>
  <dcterms:modified xsi:type="dcterms:W3CDTF">2023-06-27T06:12:00Z</dcterms:modified>
</cp:coreProperties>
</file>