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E9" w:rsidRPr="00336989" w:rsidRDefault="004A41E9" w:rsidP="004A41E9">
      <w:pPr>
        <w:spacing w:after="1700" w:line="276" w:lineRule="auto"/>
      </w:pPr>
      <w:bookmarkStart w:id="0" w:name="_GoBack"/>
      <w:bookmarkEnd w:id="0"/>
    </w:p>
    <w:p w:rsidR="004A41E9" w:rsidRPr="00336989" w:rsidRDefault="00FE777A" w:rsidP="004A41E9">
      <w:pPr>
        <w:pStyle w:val="Titel"/>
      </w:pPr>
      <w:r>
        <w:t>Reglement</w:t>
      </w:r>
    </w:p>
    <w:p w:rsidR="004A41E9" w:rsidRPr="00336989" w:rsidRDefault="00FE777A" w:rsidP="004A41E9">
      <w:pPr>
        <w:pStyle w:val="Untertitel"/>
      </w:pPr>
      <w:r>
        <w:t xml:space="preserve">über die </w:t>
      </w:r>
      <w:r w:rsidR="00C14B2B">
        <w:t>Spezialfinanzierung Schwankungsreserve</w:t>
      </w:r>
    </w:p>
    <w:p w:rsidR="008C2FAE" w:rsidRDefault="008C2FAE" w:rsidP="008C2FAE">
      <w:pPr>
        <w:pStyle w:val="Text85pt"/>
      </w:pPr>
      <w:bookmarkStart w:id="1" w:name="_Hlk19280792"/>
    </w:p>
    <w:p w:rsidR="008C2FAE" w:rsidRDefault="008C2FAE" w:rsidP="008C2FAE">
      <w:pPr>
        <w:pStyle w:val="Text85pt"/>
      </w:pPr>
    </w:p>
    <w:p w:rsidR="008C2FAE" w:rsidRDefault="008C2FAE" w:rsidP="008C2FAE">
      <w:pPr>
        <w:pStyle w:val="Text85pt"/>
      </w:pPr>
    </w:p>
    <w:p w:rsidR="008C2FAE" w:rsidRDefault="008C2FAE" w:rsidP="008C2FAE">
      <w:pPr>
        <w:pStyle w:val="Text85pt"/>
      </w:pPr>
    </w:p>
    <w:bookmarkEnd w:id="1"/>
    <w:p w:rsidR="004A41E9" w:rsidRDefault="00FE777A" w:rsidP="00FE777A">
      <w:pPr>
        <w:pStyle w:val="Text85pt"/>
        <w:rPr>
          <w:b/>
        </w:rPr>
      </w:pPr>
      <w:r>
        <w:rPr>
          <w:b/>
        </w:rPr>
        <w:t xml:space="preserve">Fassung: </w:t>
      </w:r>
      <w:r w:rsidR="00456CD7">
        <w:rPr>
          <w:b/>
        </w:rPr>
        <w:t xml:space="preserve">April </w:t>
      </w:r>
      <w:r w:rsidR="00EB427B">
        <w:rPr>
          <w:b/>
        </w:rPr>
        <w:t>202</w:t>
      </w:r>
      <w:r w:rsidR="00456CD7">
        <w:rPr>
          <w:b/>
        </w:rPr>
        <w:t>3</w:t>
      </w:r>
    </w:p>
    <w:p w:rsidR="00FE777A" w:rsidRPr="00FE777A" w:rsidRDefault="00FE777A" w:rsidP="00FE777A">
      <w:pPr>
        <w:pStyle w:val="Text85pt"/>
        <w:rPr>
          <w:sz w:val="16"/>
        </w:rPr>
      </w:pPr>
      <w:r>
        <w:rPr>
          <w:sz w:val="16"/>
        </w:rPr>
        <w:t>2019.JGK.5063</w:t>
      </w:r>
    </w:p>
    <w:p w:rsidR="004A41E9" w:rsidRPr="00336989" w:rsidRDefault="004A41E9" w:rsidP="008C2FAE">
      <w:pPr>
        <w:pStyle w:val="Text85pt"/>
      </w:pPr>
      <w:r w:rsidRPr="00336989">
        <w:br w:type="page"/>
      </w:r>
    </w:p>
    <w:tbl>
      <w:tblPr>
        <w:tblW w:w="9426" w:type="dxa"/>
        <w:tblLayout w:type="fixed"/>
        <w:tblCellMar>
          <w:left w:w="70" w:type="dxa"/>
          <w:right w:w="70" w:type="dxa"/>
        </w:tblCellMar>
        <w:tblLook w:val="0000" w:firstRow="0" w:lastRow="0" w:firstColumn="0" w:lastColumn="0" w:noHBand="0" w:noVBand="0"/>
      </w:tblPr>
      <w:tblGrid>
        <w:gridCol w:w="2055"/>
        <w:gridCol w:w="7371"/>
      </w:tblGrid>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C14B2B">
            <w:pPr>
              <w:pStyle w:val="berschrift1"/>
            </w:pPr>
            <w:r w:rsidRPr="00AE3428">
              <w:t>Reglement über die Spezialfinanzierung Schwankungsreserve</w:t>
            </w:r>
          </w:p>
        </w:tc>
      </w:tr>
      <w:tr w:rsidR="00C14B2B" w:rsidRPr="00AE3428" w:rsidTr="009F34EE">
        <w:trPr>
          <w:trHeight w:val="7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9F34EE">
            <w:pPr>
              <w:jc w:val="both"/>
            </w:pPr>
            <w:r w:rsidRPr="00AE3428">
              <w:br/>
              <w:t>Reglement gestützt auf Art. 81a Abs. 3 und Art. 86 ff der Gemeindeverordnung (GV) vom 16. Dezember 1998</w:t>
            </w:r>
            <w:r w:rsidRPr="00AE3428">
              <w:rPr>
                <w:rStyle w:val="Funotenzeichen"/>
              </w:rPr>
              <w:footnoteReference w:id="1"/>
            </w:r>
            <w:r w:rsidRPr="00AE3428">
              <w:t>.</w:t>
            </w:r>
          </w:p>
        </w:tc>
      </w:tr>
      <w:tr w:rsidR="00C14B2B" w:rsidRPr="00AE3428" w:rsidTr="00C14B2B">
        <w:trPr>
          <w:trHeight w:val="263"/>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C14B2B"/>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r w:rsidRPr="00AE3428">
              <w:rPr>
                <w:sz w:val="18"/>
              </w:rPr>
              <w:t>Zweck</w:t>
            </w:r>
          </w:p>
        </w:tc>
        <w:tc>
          <w:tcPr>
            <w:tcW w:w="7371" w:type="dxa"/>
            <w:tcBorders>
              <w:top w:val="nil"/>
              <w:left w:val="nil"/>
              <w:bottom w:val="nil"/>
              <w:right w:val="nil"/>
            </w:tcBorders>
          </w:tcPr>
          <w:p w:rsidR="00C14B2B" w:rsidRPr="00AE3428" w:rsidRDefault="00C14B2B" w:rsidP="00C14B2B">
            <w:pPr>
              <w:pStyle w:val="Listenabsatz"/>
              <w:numPr>
                <w:ilvl w:val="0"/>
                <w:numId w:val="30"/>
              </w:numPr>
              <w:ind w:left="0" w:firstLine="0"/>
            </w:pPr>
            <w:r w:rsidRPr="00AE3428">
              <w:t xml:space="preserve">Die Schwankungsreserve wird für die den Vermögensanlagen zugrundeliegenden marktspezifischen Risiken gebildet und bezweckt, Wertverminderungen aus der periodischen Neubewertung von Finanzvermögen oder dauerhaft eingetretene Wertverminderungen und Verluste des Finanzvermögens aufzufangen, damit diese nicht zu übermässigen Schwankungen in der Erfolgsrechnung führen. </w:t>
            </w: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C14B2B">
            <w:pPr>
              <w:pStyle w:val="Listenabsatz"/>
              <w:ind w:left="0"/>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9F34EE">
            <w:pPr>
              <w:tabs>
                <w:tab w:val="left" w:pos="213"/>
                <w:tab w:val="left" w:pos="922"/>
              </w:tabs>
              <w:jc w:val="both"/>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r w:rsidRPr="00AE3428">
              <w:rPr>
                <w:sz w:val="18"/>
              </w:rPr>
              <w:t xml:space="preserve">Einlagen in die </w:t>
            </w:r>
            <w:r w:rsidRPr="00AE3428">
              <w:rPr>
                <w:sz w:val="18"/>
              </w:rPr>
              <w:br/>
              <w:t>Schwankungsreserve</w:t>
            </w:r>
          </w:p>
        </w:tc>
        <w:tc>
          <w:tcPr>
            <w:tcW w:w="7371" w:type="dxa"/>
            <w:tcBorders>
              <w:top w:val="nil"/>
              <w:left w:val="nil"/>
              <w:bottom w:val="nil"/>
              <w:right w:val="nil"/>
            </w:tcBorders>
          </w:tcPr>
          <w:p w:rsidR="00C14B2B" w:rsidRPr="00C14B2B" w:rsidRDefault="00C14B2B" w:rsidP="00C14B2B">
            <w:pPr>
              <w:pStyle w:val="Listenabsatz"/>
              <w:numPr>
                <w:ilvl w:val="0"/>
                <w:numId w:val="30"/>
              </w:numPr>
              <w:tabs>
                <w:tab w:val="left" w:pos="213"/>
              </w:tabs>
              <w:ind w:left="0" w:firstLine="0"/>
              <w:jc w:val="both"/>
              <w:rPr>
                <w:rFonts w:cs="Arial"/>
              </w:rPr>
            </w:pPr>
            <w:r w:rsidRPr="00C14B2B">
              <w:rPr>
                <w:rFonts w:cs="Arial"/>
                <w:vertAlign w:val="superscript"/>
              </w:rPr>
              <w:t>1</w:t>
            </w:r>
            <w:r w:rsidR="00EB427B">
              <w:rPr>
                <w:rFonts w:cs="Arial"/>
                <w:vertAlign w:val="superscript"/>
              </w:rPr>
              <w:t xml:space="preserve"> </w:t>
            </w:r>
            <w:r w:rsidRPr="00C14B2B">
              <w:rPr>
                <w:rFonts w:cs="Arial"/>
              </w:rPr>
              <w:t>Aufwertungsgewinne, welche aus der periodischen Neubewertung des Finanzvermögens gemäss Art. 81 Abs. 2 und 3 GV resultieren, werden vollständig oder anteilsmässig, je nach Risikobeurteilung, in di</w:t>
            </w:r>
            <w:r>
              <w:rPr>
                <w:rFonts w:cs="Arial"/>
              </w:rPr>
              <w:t>e Schwankungsreserve eingelegt.</w:t>
            </w:r>
          </w:p>
          <w:p w:rsidR="00C14B2B" w:rsidRPr="00C14B2B" w:rsidRDefault="00C14B2B" w:rsidP="009F34EE">
            <w:pPr>
              <w:tabs>
                <w:tab w:val="left" w:pos="213"/>
                <w:tab w:val="left" w:pos="922"/>
              </w:tabs>
              <w:jc w:val="both"/>
              <w:rPr>
                <w:rFonts w:cs="Arial"/>
              </w:rPr>
            </w:pPr>
            <w:r w:rsidRPr="00AE3428">
              <w:rPr>
                <w:rFonts w:cs="Arial"/>
              </w:rPr>
              <w:t xml:space="preserve">              </w:t>
            </w:r>
            <w:r w:rsidRPr="00AE3428">
              <w:rPr>
                <w:rFonts w:cs="Arial"/>
                <w:b/>
                <w:highlight w:val="darkGray"/>
              </w:rPr>
              <w:t>optional:</w:t>
            </w: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C14B2B" w:rsidRDefault="00C14B2B" w:rsidP="00C14B2B">
            <w:pPr>
              <w:rPr>
                <w:vertAlign w:val="superscript"/>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C14B2B" w:rsidRDefault="00C14B2B" w:rsidP="00C14B2B">
            <w:pPr>
              <w:tabs>
                <w:tab w:val="left" w:pos="213"/>
                <w:tab w:val="left" w:pos="922"/>
              </w:tabs>
              <w:jc w:val="both"/>
              <w:rPr>
                <w:sz w:val="16"/>
                <w:szCs w:val="16"/>
              </w:rPr>
            </w:pPr>
            <w:r w:rsidRPr="00AE3428">
              <w:rPr>
                <w:rFonts w:cs="Arial"/>
                <w:vertAlign w:val="superscript"/>
              </w:rPr>
              <w:t>2</w:t>
            </w:r>
            <w:r w:rsidR="00EB427B">
              <w:rPr>
                <w:rFonts w:cs="Arial"/>
                <w:vertAlign w:val="superscript"/>
              </w:rPr>
              <w:t xml:space="preserve"> </w:t>
            </w:r>
            <w:r w:rsidRPr="00AE3428">
              <w:t xml:space="preserve">Die maximale Höhe der Schwankungsreserve beträgt </w:t>
            </w:r>
            <w:r w:rsidRPr="00AE3428">
              <w:rPr>
                <w:highlight w:val="lightGray"/>
              </w:rPr>
              <w:t>xx</w:t>
            </w:r>
            <w:r w:rsidRPr="00AE3428">
              <w:t>% der Summe der Finanzanlagen</w:t>
            </w:r>
            <w:r w:rsidRPr="00AE3428">
              <w:rPr>
                <w:rStyle w:val="Funotenzeichen"/>
              </w:rPr>
              <w:t xml:space="preserve"> </w:t>
            </w:r>
            <w:r w:rsidRPr="00AE3428">
              <w:t>(SG 107) und der Sachanlagen Finanzvermögen</w:t>
            </w:r>
            <w:r w:rsidRPr="00AE3428">
              <w:rPr>
                <w:rStyle w:val="Funotenzeichen"/>
              </w:rPr>
              <w:t xml:space="preserve"> </w:t>
            </w:r>
            <w:r w:rsidRPr="00AE3428">
              <w:t>(SG 108)</w:t>
            </w:r>
            <w:r w:rsidRPr="00AE3428">
              <w:rPr>
                <w:rStyle w:val="Funotenzeichen"/>
                <w:sz w:val="20"/>
              </w:rPr>
              <w:footnoteReference w:id="2"/>
            </w:r>
            <w:r w:rsidRPr="00AE3428">
              <w:t xml:space="preserve">. </w:t>
            </w:r>
            <w:r w:rsidRPr="00AE3428">
              <w:rPr>
                <w:sz w:val="16"/>
                <w:szCs w:val="16"/>
              </w:rPr>
              <w:t>(Richtwert: max. 20%)</w:t>
            </w: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C14B2B" w:rsidRDefault="00C14B2B" w:rsidP="00C14B2B">
            <w:pPr>
              <w:rPr>
                <w:vertAlign w:val="superscript"/>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C14B2B" w:rsidRDefault="00C14B2B" w:rsidP="00C14B2B">
            <w:pPr>
              <w:rPr>
                <w:vertAlign w:val="superscript"/>
              </w:rPr>
            </w:pPr>
            <w:r w:rsidRPr="00AE3428">
              <w:rPr>
                <w:rFonts w:cs="Arial"/>
                <w:vertAlign w:val="superscript"/>
              </w:rPr>
              <w:t>3</w:t>
            </w:r>
            <w:r w:rsidR="00EB427B">
              <w:rPr>
                <w:rFonts w:cs="Arial"/>
                <w:vertAlign w:val="superscript"/>
              </w:rPr>
              <w:t xml:space="preserve"> </w:t>
            </w:r>
            <w:r w:rsidRPr="00AE3428">
              <w:t>Von der Neubewertungsreserve ist fünf Jahre nach Einführung von HRM2 die Summe von zehn Prozent der gesamten Finanzanlagen und fünf Prozent der gesamten Sachanlagen des Finanzvermögens in die Schwankungsreserve zu überführen (Art. T2-3, Abs. 2, Ziff. 5 GV).</w:t>
            </w: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C14B2B">
            <w:pPr>
              <w:rPr>
                <w:rFonts w:cs="Arial"/>
                <w:vertAlign w:val="superscript"/>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9F34EE">
            <w:pPr>
              <w:tabs>
                <w:tab w:val="left" w:pos="922"/>
              </w:tabs>
              <w:jc w:val="both"/>
              <w:rPr>
                <w:vertAlign w:val="superscript"/>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r w:rsidRPr="00AE3428">
              <w:rPr>
                <w:sz w:val="18"/>
              </w:rPr>
              <w:t>Entnahmen aus der Schwankungsreserve</w:t>
            </w:r>
          </w:p>
        </w:tc>
        <w:tc>
          <w:tcPr>
            <w:tcW w:w="7371" w:type="dxa"/>
            <w:tcBorders>
              <w:top w:val="nil"/>
              <w:left w:val="nil"/>
              <w:bottom w:val="nil"/>
              <w:right w:val="nil"/>
            </w:tcBorders>
          </w:tcPr>
          <w:p w:rsidR="00C14B2B" w:rsidRPr="00C14B2B" w:rsidRDefault="00C14B2B" w:rsidP="00C14B2B">
            <w:pPr>
              <w:pStyle w:val="Listenabsatz"/>
              <w:numPr>
                <w:ilvl w:val="0"/>
                <w:numId w:val="30"/>
              </w:numPr>
              <w:ind w:left="5" w:firstLine="0"/>
              <w:jc w:val="both"/>
              <w:rPr>
                <w:rFonts w:cs="Arial"/>
              </w:rPr>
            </w:pPr>
            <w:r w:rsidRPr="00C14B2B">
              <w:rPr>
                <w:rFonts w:cs="Arial"/>
              </w:rPr>
              <w:t xml:space="preserve">Entnahmen aus der Schwankungsreserve sind nur im Umfang eines Verlustes bei der periodischen Neubewertung oder der Berichtigung dauerhaft eingetretener Wertverminderungen oder Verlusten des Finanzvermögens zulässig (Art. 81a Abs. 2 GV). </w:t>
            </w: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C14B2B" w:rsidRDefault="00C14B2B" w:rsidP="00C14B2B">
            <w:pPr>
              <w:pStyle w:val="Listenabsatz"/>
              <w:ind w:left="5"/>
              <w:jc w:val="both"/>
              <w:rPr>
                <w:rFonts w:cs="Arial"/>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9F34EE">
            <w:pPr>
              <w:tabs>
                <w:tab w:val="left" w:pos="213"/>
                <w:tab w:val="left" w:pos="922"/>
              </w:tabs>
              <w:jc w:val="both"/>
              <w:rPr>
                <w:b/>
                <w:bCs w:val="0"/>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r w:rsidRPr="00AE3428">
              <w:rPr>
                <w:sz w:val="18"/>
              </w:rPr>
              <w:t>Bestand der Schwankungsreserve</w:t>
            </w:r>
          </w:p>
        </w:tc>
        <w:tc>
          <w:tcPr>
            <w:tcW w:w="7371" w:type="dxa"/>
            <w:tcBorders>
              <w:top w:val="nil"/>
              <w:left w:val="nil"/>
              <w:bottom w:val="nil"/>
              <w:right w:val="nil"/>
            </w:tcBorders>
          </w:tcPr>
          <w:p w:rsidR="00C14B2B" w:rsidRPr="00C14B2B" w:rsidRDefault="00C14B2B" w:rsidP="00C14B2B">
            <w:pPr>
              <w:pStyle w:val="Listenabsatz"/>
              <w:numPr>
                <w:ilvl w:val="0"/>
                <w:numId w:val="30"/>
              </w:numPr>
              <w:ind w:left="5" w:firstLine="0"/>
              <w:jc w:val="both"/>
              <w:rPr>
                <w:b/>
                <w:bCs w:val="0"/>
                <w:color w:val="0070C0"/>
              </w:rPr>
            </w:pPr>
            <w:r w:rsidRPr="00C14B2B">
              <w:rPr>
                <w:rFonts w:cs="Arial"/>
              </w:rPr>
              <w:t xml:space="preserve">Der Bestand der Schwankungsreserve darf nicht negativ sein. Er ist Teil der Reserven (Sachgruppe 296) und wird nicht verzinst. </w:t>
            </w: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9F34EE">
            <w:pPr>
              <w:tabs>
                <w:tab w:val="left" w:pos="922"/>
              </w:tabs>
              <w:jc w:val="both"/>
              <w:rPr>
                <w:vertAlign w:val="superscript"/>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9F34EE">
            <w:pPr>
              <w:tabs>
                <w:tab w:val="left" w:pos="922"/>
              </w:tabs>
              <w:jc w:val="both"/>
              <w:rPr>
                <w:vertAlign w:val="superscript"/>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r w:rsidRPr="00AE3428">
              <w:rPr>
                <w:sz w:val="18"/>
              </w:rPr>
              <w:t>Zuständigkeit</w:t>
            </w:r>
          </w:p>
        </w:tc>
        <w:tc>
          <w:tcPr>
            <w:tcW w:w="7371" w:type="dxa"/>
            <w:tcBorders>
              <w:top w:val="nil"/>
              <w:left w:val="nil"/>
              <w:bottom w:val="nil"/>
              <w:right w:val="nil"/>
            </w:tcBorders>
          </w:tcPr>
          <w:p w:rsidR="00C14B2B" w:rsidRPr="00C14B2B" w:rsidRDefault="00C14B2B" w:rsidP="00C14B2B">
            <w:pPr>
              <w:pStyle w:val="Listenabsatz"/>
              <w:numPr>
                <w:ilvl w:val="0"/>
                <w:numId w:val="30"/>
              </w:numPr>
              <w:ind w:left="5" w:hanging="5"/>
              <w:rPr>
                <w:vertAlign w:val="superscript"/>
              </w:rPr>
            </w:pPr>
            <w:r w:rsidRPr="00AE3428">
              <w:t xml:space="preserve">Der Gemeinderat legt jährlich die Einlage in die Schwankungsreserve fest. Er ist zudem zuständig für die Bestimmung der Entnahmen. </w:t>
            </w: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9F34EE">
            <w:pPr>
              <w:tabs>
                <w:tab w:val="left" w:pos="213"/>
                <w:tab w:val="left" w:pos="922"/>
              </w:tabs>
              <w:jc w:val="both"/>
              <w:rPr>
                <w:vertAlign w:val="superscript"/>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p>
        </w:tc>
        <w:tc>
          <w:tcPr>
            <w:tcW w:w="7371" w:type="dxa"/>
            <w:tcBorders>
              <w:top w:val="nil"/>
              <w:left w:val="nil"/>
              <w:bottom w:val="nil"/>
              <w:right w:val="nil"/>
            </w:tcBorders>
          </w:tcPr>
          <w:p w:rsidR="00C14B2B" w:rsidRPr="00AE3428" w:rsidRDefault="00C14B2B" w:rsidP="009F34EE">
            <w:pPr>
              <w:tabs>
                <w:tab w:val="left" w:pos="213"/>
                <w:tab w:val="left" w:pos="922"/>
              </w:tabs>
              <w:jc w:val="both"/>
              <w:rPr>
                <w:vertAlign w:val="superscript"/>
              </w:rPr>
            </w:pPr>
          </w:p>
        </w:tc>
      </w:tr>
      <w:tr w:rsidR="00C14B2B" w:rsidRPr="00AE3428" w:rsidTr="009F34EE">
        <w:trPr>
          <w:trHeight w:val="20"/>
        </w:trPr>
        <w:tc>
          <w:tcPr>
            <w:tcW w:w="2055" w:type="dxa"/>
            <w:tcBorders>
              <w:top w:val="nil"/>
              <w:left w:val="nil"/>
              <w:bottom w:val="nil"/>
              <w:right w:val="nil"/>
            </w:tcBorders>
          </w:tcPr>
          <w:p w:rsidR="00C14B2B" w:rsidRPr="00AE3428" w:rsidRDefault="00C14B2B" w:rsidP="009F34EE">
            <w:pPr>
              <w:rPr>
                <w:sz w:val="18"/>
              </w:rPr>
            </w:pPr>
            <w:r w:rsidRPr="00AE3428">
              <w:rPr>
                <w:sz w:val="18"/>
              </w:rPr>
              <w:t>Inkrafttreten</w:t>
            </w:r>
          </w:p>
        </w:tc>
        <w:tc>
          <w:tcPr>
            <w:tcW w:w="7371" w:type="dxa"/>
            <w:tcBorders>
              <w:top w:val="nil"/>
              <w:left w:val="nil"/>
              <w:bottom w:val="nil"/>
              <w:right w:val="nil"/>
            </w:tcBorders>
          </w:tcPr>
          <w:p w:rsidR="00C14B2B" w:rsidRPr="00AE3428" w:rsidRDefault="00C14B2B" w:rsidP="009F34EE">
            <w:pPr>
              <w:tabs>
                <w:tab w:val="left" w:pos="213"/>
                <w:tab w:val="left" w:pos="922"/>
              </w:tabs>
              <w:jc w:val="both"/>
            </w:pPr>
            <w:r w:rsidRPr="00AE3428">
              <w:rPr>
                <w:b/>
              </w:rPr>
              <w:t>Art. 6</w:t>
            </w:r>
            <w:r w:rsidRPr="00AE3428">
              <w:rPr>
                <w:vertAlign w:val="superscript"/>
              </w:rPr>
              <w:tab/>
            </w:r>
            <w:r w:rsidRPr="00AE3428">
              <w:t xml:space="preserve">Dieses Reglement tritt am </w:t>
            </w:r>
            <w:r w:rsidRPr="00AE3428">
              <w:sym w:font="Wingdings" w:char="F06E"/>
            </w:r>
            <w:r w:rsidRPr="00AE3428">
              <w:sym w:font="Wingdings" w:char="F06E"/>
            </w:r>
            <w:r w:rsidRPr="00AE3428">
              <w:sym w:font="Wingdings" w:char="F06E"/>
            </w:r>
            <w:r w:rsidRPr="00AE3428">
              <w:t xml:space="preserve"> in Kraft.</w:t>
            </w:r>
          </w:p>
        </w:tc>
      </w:tr>
    </w:tbl>
    <w:p w:rsidR="00C14B2B" w:rsidRPr="00AE3428" w:rsidRDefault="00C14B2B" w:rsidP="00C14B2B"/>
    <w:p w:rsidR="00C14B2B" w:rsidRDefault="00C14B2B" w:rsidP="00C14B2B"/>
    <w:p w:rsidR="00C14B2B" w:rsidRPr="00AE3428" w:rsidRDefault="00C14B2B" w:rsidP="00C14B2B"/>
    <w:p w:rsidR="00C14B2B" w:rsidRPr="00AE3428" w:rsidRDefault="00C14B2B" w:rsidP="00C14B2B">
      <w:r w:rsidRPr="00AE3428">
        <w:t xml:space="preserve">Die Gemeindeversammlung vom </w:t>
      </w:r>
      <w:r w:rsidRPr="00AE3428">
        <w:sym w:font="Wingdings" w:char="F06E"/>
      </w:r>
      <w:r w:rsidRPr="00AE3428">
        <w:sym w:font="Wingdings" w:char="F06E"/>
      </w:r>
      <w:r w:rsidRPr="00AE3428">
        <w:sym w:font="Wingdings" w:char="F06E"/>
      </w:r>
      <w:r w:rsidRPr="00AE3428">
        <w:t xml:space="preserve"> hat dieses Reglement beschlossen.</w:t>
      </w:r>
    </w:p>
    <w:p w:rsidR="00C14B2B" w:rsidRPr="00AE3428" w:rsidRDefault="00C14B2B" w:rsidP="00C14B2B"/>
    <w:p w:rsidR="00C14B2B" w:rsidRPr="00AE3428" w:rsidRDefault="00C14B2B" w:rsidP="00C14B2B">
      <w:pPr>
        <w:pStyle w:val="Kopfzeile"/>
        <w:tabs>
          <w:tab w:val="left" w:pos="3402"/>
        </w:tabs>
      </w:pPr>
      <w:r w:rsidRPr="00AE3428">
        <w:sym w:font="Wingdings" w:char="F06E"/>
      </w:r>
      <w:r w:rsidRPr="00AE3428">
        <w:sym w:font="Wingdings" w:char="F06E"/>
      </w:r>
      <w:r w:rsidRPr="00AE3428">
        <w:sym w:font="Wingdings" w:char="F06E"/>
      </w:r>
      <w:r w:rsidRPr="00AE3428">
        <w:t xml:space="preserve">, </w:t>
      </w:r>
      <w:r w:rsidRPr="00AE3428">
        <w:sym w:font="Wingdings" w:char="F06E"/>
      </w:r>
      <w:r w:rsidRPr="00AE3428">
        <w:sym w:font="Wingdings" w:char="F06E"/>
      </w:r>
      <w:r w:rsidRPr="00AE3428">
        <w:sym w:font="Wingdings" w:char="F06E"/>
      </w:r>
      <w:r w:rsidRPr="00AE3428">
        <w:tab/>
      </w:r>
    </w:p>
    <w:p w:rsidR="00C14B2B" w:rsidRPr="00AE3428" w:rsidRDefault="00C14B2B" w:rsidP="00C14B2B">
      <w:pPr>
        <w:tabs>
          <w:tab w:val="left" w:pos="3402"/>
        </w:tabs>
      </w:pPr>
    </w:p>
    <w:p w:rsidR="00C14B2B" w:rsidRDefault="00C14B2B" w:rsidP="00C14B2B">
      <w:pPr>
        <w:tabs>
          <w:tab w:val="right" w:pos="3969"/>
          <w:tab w:val="left" w:pos="5103"/>
          <w:tab w:val="right" w:pos="9072"/>
        </w:tabs>
      </w:pPr>
      <w:r w:rsidRPr="00AE3428">
        <w:t>Der/</w:t>
      </w:r>
      <w:proofErr w:type="gramStart"/>
      <w:r w:rsidRPr="00AE3428">
        <w:t>die Präsident</w:t>
      </w:r>
      <w:proofErr w:type="gramEnd"/>
      <w:r w:rsidRPr="00AE3428">
        <w:t>/in</w:t>
      </w:r>
      <w:r w:rsidRPr="00AE3428">
        <w:tab/>
      </w:r>
      <w:r>
        <w:tab/>
      </w:r>
      <w:r w:rsidRPr="00AE3428">
        <w:t>Der/die Sekretär/in</w:t>
      </w:r>
    </w:p>
    <w:p w:rsidR="00C14B2B" w:rsidRDefault="00C14B2B" w:rsidP="00C14B2B">
      <w:pPr>
        <w:tabs>
          <w:tab w:val="right" w:pos="3969"/>
          <w:tab w:val="left" w:pos="5103"/>
          <w:tab w:val="right" w:pos="9072"/>
        </w:tabs>
      </w:pPr>
    </w:p>
    <w:p w:rsidR="00C14B2B" w:rsidRDefault="00C14B2B" w:rsidP="00C14B2B">
      <w:pPr>
        <w:tabs>
          <w:tab w:val="right" w:pos="3969"/>
          <w:tab w:val="left" w:pos="5103"/>
          <w:tab w:val="right" w:pos="9072"/>
        </w:tabs>
      </w:pPr>
    </w:p>
    <w:p w:rsidR="00C14B2B" w:rsidRPr="00C14B2B" w:rsidRDefault="00C14B2B" w:rsidP="00C14B2B">
      <w:pPr>
        <w:tabs>
          <w:tab w:val="right" w:leader="dot" w:pos="3969"/>
          <w:tab w:val="left" w:pos="5103"/>
          <w:tab w:val="right" w:leader="dot" w:pos="9072"/>
        </w:tabs>
      </w:pPr>
      <w:r>
        <w:tab/>
      </w:r>
      <w:r>
        <w:tab/>
      </w:r>
      <w:r>
        <w:tab/>
      </w:r>
    </w:p>
    <w:p w:rsidR="00C14B2B" w:rsidRPr="00AE3428" w:rsidRDefault="00C14B2B" w:rsidP="00C14B2B">
      <w:pPr>
        <w:pStyle w:val="berschrift1"/>
      </w:pPr>
      <w:r w:rsidRPr="00AE3428">
        <w:br w:type="page"/>
      </w:r>
      <w:r w:rsidRPr="00AE3428">
        <w:lastRenderedPageBreak/>
        <w:t>Auflagezeugnis</w:t>
      </w:r>
    </w:p>
    <w:p w:rsidR="00C14B2B" w:rsidRPr="00AE3428" w:rsidRDefault="00C14B2B" w:rsidP="00C14B2B"/>
    <w:p w:rsidR="00C14B2B" w:rsidRPr="00AE3428" w:rsidRDefault="00C14B2B" w:rsidP="00C14B2B">
      <w:r w:rsidRPr="00AE3428">
        <w:t xml:space="preserve">Die Gemeindeschreiberin/der Gemeindeschreiber hat dieses Reglement vom </w:t>
      </w:r>
      <w:r w:rsidRPr="00AE3428">
        <w:sym w:font="Wingdings" w:char="F06E"/>
      </w:r>
      <w:r w:rsidRPr="00AE3428">
        <w:sym w:font="Wingdings" w:char="F06E"/>
      </w:r>
      <w:r w:rsidRPr="00AE3428">
        <w:sym w:font="Wingdings" w:char="F06E"/>
      </w:r>
      <w:r w:rsidRPr="00AE3428">
        <w:t xml:space="preserve"> bis </w:t>
      </w:r>
      <w:r w:rsidRPr="00AE3428">
        <w:sym w:font="Wingdings" w:char="F06E"/>
      </w:r>
      <w:r w:rsidRPr="00AE3428">
        <w:sym w:font="Wingdings" w:char="F06E"/>
      </w:r>
      <w:r w:rsidRPr="00AE3428">
        <w:sym w:font="Wingdings" w:char="F06E"/>
      </w:r>
      <w:r w:rsidRPr="00AE3428">
        <w:t xml:space="preserve"> (dreissig Tage vor der beschlussfassenden Versammlung) in der Gemeindeverwaltung öffentlich aufgelegt. </w:t>
      </w:r>
      <w:r w:rsidR="00456CD7">
        <w:t>D</w:t>
      </w:r>
      <w:r w:rsidRPr="00AE3428">
        <w:t xml:space="preserve">ie Auflage </w:t>
      </w:r>
      <w:r w:rsidR="00456CD7">
        <w:t xml:space="preserve">wurde </w:t>
      </w:r>
      <w:r w:rsidRPr="00AE3428">
        <w:t xml:space="preserve">im amtlichen </w:t>
      </w:r>
      <w:r w:rsidR="00456CD7">
        <w:t xml:space="preserve">Publikationsorgan </w:t>
      </w:r>
      <w:r w:rsidR="002B1A8F">
        <w:t xml:space="preserve">der Gemeinde </w:t>
      </w:r>
      <w:r w:rsidR="00456CD7">
        <w:t>am</w:t>
      </w:r>
      <w:r w:rsidR="00456CD7" w:rsidRPr="00AE3428">
        <w:t xml:space="preserve"> </w:t>
      </w:r>
      <w:r w:rsidR="00456CD7">
        <w:t>…</w:t>
      </w:r>
      <w:r w:rsidR="00BC3A03">
        <w:t xml:space="preserve"> </w:t>
      </w:r>
      <w:r w:rsidR="00456CD7">
        <w:t>publiziert</w:t>
      </w:r>
      <w:r w:rsidRPr="00AE3428">
        <w:t>.</w:t>
      </w:r>
    </w:p>
    <w:p w:rsidR="00C14B2B" w:rsidRPr="00AE3428" w:rsidRDefault="00C14B2B" w:rsidP="00C14B2B"/>
    <w:p w:rsidR="00C14B2B" w:rsidRPr="00AE3428" w:rsidRDefault="00C14B2B" w:rsidP="00C14B2B"/>
    <w:p w:rsidR="00C14B2B" w:rsidRDefault="00C14B2B" w:rsidP="00C14B2B">
      <w:pPr>
        <w:tabs>
          <w:tab w:val="left" w:pos="4536"/>
          <w:tab w:val="right" w:pos="9072"/>
        </w:tabs>
      </w:pPr>
      <w:r w:rsidRPr="00AE3428">
        <w:sym w:font="Wingdings" w:char="F06E"/>
      </w:r>
      <w:r w:rsidRPr="00AE3428">
        <w:sym w:font="Wingdings" w:char="F06E"/>
      </w:r>
      <w:r w:rsidRPr="00AE3428">
        <w:sym w:font="Wingdings" w:char="F06E"/>
      </w:r>
      <w:r w:rsidRPr="00AE3428">
        <w:t xml:space="preserve">, </w:t>
      </w:r>
      <w:r w:rsidRPr="00AE3428">
        <w:sym w:font="Wingdings" w:char="F06E"/>
      </w:r>
      <w:r w:rsidRPr="00AE3428">
        <w:sym w:font="Wingdings" w:char="F06E"/>
      </w:r>
      <w:r w:rsidRPr="00AE3428">
        <w:sym w:font="Wingdings" w:char="F06E"/>
      </w:r>
      <w:r w:rsidRPr="00AE3428">
        <w:tab/>
        <w:t>Die Gemeindeschreiberin/der Gemeindeschreiber:</w:t>
      </w:r>
    </w:p>
    <w:p w:rsidR="00C14B2B" w:rsidRDefault="00C14B2B" w:rsidP="00C14B2B">
      <w:pPr>
        <w:tabs>
          <w:tab w:val="left" w:pos="5103"/>
          <w:tab w:val="right" w:pos="9072"/>
        </w:tabs>
      </w:pPr>
    </w:p>
    <w:p w:rsidR="00C14B2B" w:rsidRDefault="00C14B2B" w:rsidP="00C14B2B">
      <w:pPr>
        <w:tabs>
          <w:tab w:val="left" w:pos="5103"/>
          <w:tab w:val="right" w:pos="9072"/>
        </w:tabs>
      </w:pPr>
    </w:p>
    <w:p w:rsidR="00760BEF" w:rsidRPr="00C14B2B" w:rsidRDefault="00C14B2B" w:rsidP="00C14B2B">
      <w:pPr>
        <w:tabs>
          <w:tab w:val="left" w:pos="4536"/>
          <w:tab w:val="right" w:leader="dot" w:pos="9072"/>
        </w:tabs>
      </w:pPr>
      <w:r>
        <w:tab/>
      </w:r>
      <w:r>
        <w:tab/>
      </w:r>
    </w:p>
    <w:sectPr w:rsidR="00760BEF" w:rsidRPr="00C14B2B" w:rsidSect="007254A0">
      <w:footerReference w:type="default" r:id="rId8"/>
      <w:headerReference w:type="first" r:id="rId9"/>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056" w:rsidRDefault="00FC5056" w:rsidP="00F91D37">
      <w:pPr>
        <w:spacing w:line="240" w:lineRule="auto"/>
      </w:pPr>
      <w:r>
        <w:separator/>
      </w:r>
    </w:p>
  </w:endnote>
  <w:endnote w:type="continuationSeparator" w:id="0">
    <w:p w:rsidR="00FC5056" w:rsidRDefault="00FC505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8361"/>
      <w:docPartObj>
        <w:docPartGallery w:val="Page Numbers (Bottom of Page)"/>
        <w:docPartUnique/>
      </w:docPartObj>
    </w:sdtPr>
    <w:sdtEndPr/>
    <w:sdtContent>
      <w:sdt>
        <w:sdtPr>
          <w:id w:val="-1769616900"/>
          <w:docPartObj>
            <w:docPartGallery w:val="Page Numbers (Top of Page)"/>
            <w:docPartUnique/>
          </w:docPartObj>
        </w:sdtPr>
        <w:sdtEndPr/>
        <w:sdtContent>
          <w:p w:rsidR="00FE777A" w:rsidRDefault="00FE777A">
            <w:pPr>
              <w:pStyle w:val="Fuzeile"/>
              <w:jc w:val="right"/>
            </w:pPr>
            <w:r>
              <w:rPr>
                <w:lang w:val="de-DE"/>
              </w:rPr>
              <w:t xml:space="preserve">Seite </w:t>
            </w:r>
            <w:r>
              <w:rPr>
                <w:b/>
                <w:bCs w:val="0"/>
                <w:sz w:val="24"/>
                <w:szCs w:val="24"/>
              </w:rPr>
              <w:fldChar w:fldCharType="begin"/>
            </w:r>
            <w:r>
              <w:rPr>
                <w:b/>
              </w:rPr>
              <w:instrText>PAGE</w:instrText>
            </w:r>
            <w:r>
              <w:rPr>
                <w:b/>
                <w:bCs w:val="0"/>
                <w:sz w:val="24"/>
                <w:szCs w:val="24"/>
              </w:rPr>
              <w:fldChar w:fldCharType="separate"/>
            </w:r>
            <w:r w:rsidR="00F835DF">
              <w:rPr>
                <w:b/>
                <w:noProof/>
              </w:rPr>
              <w:t>4</w:t>
            </w:r>
            <w:r>
              <w:rPr>
                <w:b/>
                <w:bCs w:val="0"/>
                <w:sz w:val="24"/>
                <w:szCs w:val="24"/>
              </w:rPr>
              <w:fldChar w:fldCharType="end"/>
            </w:r>
            <w:r>
              <w:rPr>
                <w:lang w:val="de-DE"/>
              </w:rPr>
              <w:t xml:space="preserve"> von </w:t>
            </w:r>
            <w:r>
              <w:rPr>
                <w:b/>
                <w:bCs w:val="0"/>
                <w:sz w:val="24"/>
                <w:szCs w:val="24"/>
              </w:rPr>
              <w:fldChar w:fldCharType="begin"/>
            </w:r>
            <w:r>
              <w:rPr>
                <w:b/>
              </w:rPr>
              <w:instrText>NUMPAGES</w:instrText>
            </w:r>
            <w:r>
              <w:rPr>
                <w:b/>
                <w:bCs w:val="0"/>
                <w:sz w:val="24"/>
                <w:szCs w:val="24"/>
              </w:rPr>
              <w:fldChar w:fldCharType="separate"/>
            </w:r>
            <w:r w:rsidR="00F835DF">
              <w:rPr>
                <w:b/>
                <w:noProof/>
              </w:rPr>
              <w:t>4</w:t>
            </w:r>
            <w:r>
              <w:rPr>
                <w:b/>
                <w:bCs w:val="0"/>
                <w:sz w:val="24"/>
                <w:szCs w:val="24"/>
              </w:rPr>
              <w:fldChar w:fldCharType="end"/>
            </w:r>
          </w:p>
        </w:sdtContent>
      </w:sdt>
    </w:sdtContent>
  </w:sdt>
  <w:p w:rsidR="00797FDE" w:rsidRPr="00BD4A9C" w:rsidRDefault="00797FDE" w:rsidP="006327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056" w:rsidRDefault="00FC5056" w:rsidP="00F91D37">
      <w:pPr>
        <w:spacing w:line="240" w:lineRule="auto"/>
      </w:pPr>
    </w:p>
    <w:p w:rsidR="00FC5056" w:rsidRDefault="00FC5056" w:rsidP="00F91D37">
      <w:pPr>
        <w:spacing w:line="240" w:lineRule="auto"/>
      </w:pPr>
    </w:p>
  </w:footnote>
  <w:footnote w:type="continuationSeparator" w:id="0">
    <w:p w:rsidR="00FC5056" w:rsidRDefault="00FC5056" w:rsidP="00F91D37">
      <w:pPr>
        <w:spacing w:line="240" w:lineRule="auto"/>
      </w:pPr>
      <w:r>
        <w:continuationSeparator/>
      </w:r>
    </w:p>
  </w:footnote>
  <w:footnote w:id="1">
    <w:p w:rsidR="00C14B2B" w:rsidRDefault="00C14B2B" w:rsidP="00C14B2B">
      <w:pPr>
        <w:pStyle w:val="Funotentext"/>
        <w:pBdr>
          <w:top w:val="single" w:sz="4" w:space="1" w:color="auto"/>
        </w:pBdr>
        <w:tabs>
          <w:tab w:val="left" w:pos="284"/>
        </w:tabs>
        <w:ind w:right="8277"/>
        <w:rPr>
          <w:sz w:val="16"/>
        </w:rPr>
      </w:pPr>
      <w:r>
        <w:rPr>
          <w:rStyle w:val="Funotenzeichen"/>
          <w:sz w:val="16"/>
        </w:rPr>
        <w:footnoteRef/>
      </w:r>
      <w:r>
        <w:rPr>
          <w:sz w:val="16"/>
        </w:rPr>
        <w:t xml:space="preserve"> BSG 170.111</w:t>
      </w:r>
    </w:p>
  </w:footnote>
  <w:footnote w:id="2">
    <w:p w:rsidR="00C14B2B" w:rsidRPr="00BA6919" w:rsidRDefault="00C14B2B" w:rsidP="00C14B2B">
      <w:pPr>
        <w:pStyle w:val="Funotentext"/>
        <w:tabs>
          <w:tab w:val="left" w:pos="284"/>
        </w:tabs>
        <w:ind w:left="142" w:hanging="142"/>
      </w:pPr>
      <w:r w:rsidRPr="00BC4DAB">
        <w:rPr>
          <w:rStyle w:val="Funotenzeichen"/>
          <w:sz w:val="16"/>
          <w:szCs w:val="16"/>
        </w:rPr>
        <w:footnoteRef/>
      </w:r>
      <w:r w:rsidRPr="00BC4DAB">
        <w:rPr>
          <w:sz w:val="16"/>
          <w:szCs w:val="16"/>
        </w:rPr>
        <w:t xml:space="preserve"> </w:t>
      </w:r>
      <w:r w:rsidRPr="00BA6919">
        <w:rPr>
          <w:sz w:val="16"/>
          <w:szCs w:val="16"/>
        </w:rPr>
        <w:t xml:space="preserve">Die Einlage nach Art. 2, Abs. </w:t>
      </w:r>
      <w:r>
        <w:rPr>
          <w:sz w:val="16"/>
          <w:szCs w:val="16"/>
        </w:rPr>
        <w:t>3 dieses Reglement</w:t>
      </w:r>
      <w:r w:rsidRPr="00BA6919">
        <w:rPr>
          <w:sz w:val="16"/>
          <w:szCs w:val="16"/>
        </w:rPr>
        <w:t>s ist zwingend. Wird eine maximale Höhe der Schwankungsreserve vorgesehen, ist sicherzustellen, dass diese zum Zeitpunkt der Einlage aus der Neubewertungsreserve nicht überschritten wird.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EDC4B6B"/>
    <w:multiLevelType w:val="hybridMultilevel"/>
    <w:tmpl w:val="A412CD9E"/>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B5158E3"/>
    <w:multiLevelType w:val="hybridMultilevel"/>
    <w:tmpl w:val="8B7A5CF6"/>
    <w:lvl w:ilvl="0" w:tplc="138A0AF4">
      <w:start w:val="1"/>
      <w:numFmt w:val="decimal"/>
      <w:lvlText w:val="Art. %1"/>
      <w:lvlJc w:val="left"/>
      <w:pPr>
        <w:ind w:left="1440" w:hanging="360"/>
      </w:pPr>
      <w:rPr>
        <w:rFonts w:ascii="Arial" w:hAnsi="Arial" w:hint="default"/>
        <w:b/>
        <w:i w:val="0"/>
        <w:sz w:val="21"/>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A64DA"/>
    <w:multiLevelType w:val="hybridMultilevel"/>
    <w:tmpl w:val="D94818E6"/>
    <w:lvl w:ilvl="0" w:tplc="7FFC8478">
      <w:start w:val="1"/>
      <w:numFmt w:val="decimal"/>
      <w:lvlText w:val="Art. %1"/>
      <w:lvlJc w:val="left"/>
      <w:pPr>
        <w:ind w:left="720" w:hanging="360"/>
      </w:pPr>
      <w:rPr>
        <w:rFonts w:ascii="Arial" w:hAnsi="Arial" w:hint="default"/>
        <w:b/>
        <w:i w:val="0"/>
        <w:color w:val="000000" w:themeColor="text1"/>
        <w:sz w:val="21"/>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BE01900"/>
    <w:multiLevelType w:val="hybridMultilevel"/>
    <w:tmpl w:val="DF8EFDE8"/>
    <w:lvl w:ilvl="0" w:tplc="077432A6">
      <w:start w:val="1"/>
      <w:numFmt w:val="decimal"/>
      <w:lvlText w:val="Art. %1"/>
      <w:lvlJc w:val="left"/>
      <w:pPr>
        <w:ind w:left="1440" w:hanging="360"/>
      </w:pPr>
      <w:rPr>
        <w:rFonts w:ascii="Arial" w:hAnsi="Arial" w:hint="default"/>
        <w:b/>
        <w:i w:val="0"/>
        <w:sz w:val="21"/>
        <w:vertAlign w:val="baseline"/>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7" w15:restartNumberingAfterBreak="0">
    <w:nsid w:val="7D237DD2"/>
    <w:multiLevelType w:val="hybridMultilevel"/>
    <w:tmpl w:val="4FE81166"/>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4"/>
  </w:num>
  <w:num w:numId="14">
    <w:abstractNumId w:val="28"/>
  </w:num>
  <w:num w:numId="15">
    <w:abstractNumId w:val="25"/>
  </w:num>
  <w:num w:numId="16">
    <w:abstractNumId w:val="10"/>
  </w:num>
  <w:num w:numId="17">
    <w:abstractNumId w:val="1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27"/>
  </w:num>
  <w:num w:numId="27">
    <w:abstractNumId w:val="26"/>
  </w:num>
  <w:num w:numId="28">
    <w:abstractNumId w:val="12"/>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7A"/>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1F7593"/>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B1A8F"/>
    <w:rsid w:val="002C2DC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56CD7"/>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0B8D"/>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9B1"/>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4CAD"/>
    <w:rsid w:val="00856665"/>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2FAE"/>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A03"/>
    <w:rsid w:val="00BC3E90"/>
    <w:rsid w:val="00BC655F"/>
    <w:rsid w:val="00BD3717"/>
    <w:rsid w:val="00BD4A9C"/>
    <w:rsid w:val="00BE1E62"/>
    <w:rsid w:val="00BF7052"/>
    <w:rsid w:val="00C034B4"/>
    <w:rsid w:val="00C05FAB"/>
    <w:rsid w:val="00C14B2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B427B"/>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35DF"/>
    <w:rsid w:val="00F87174"/>
    <w:rsid w:val="00F91D37"/>
    <w:rsid w:val="00F921E8"/>
    <w:rsid w:val="00F92E65"/>
    <w:rsid w:val="00F9610D"/>
    <w:rsid w:val="00FA4A45"/>
    <w:rsid w:val="00FB239D"/>
    <w:rsid w:val="00FB5828"/>
    <w:rsid w:val="00FB657F"/>
    <w:rsid w:val="00FB7DDF"/>
    <w:rsid w:val="00FC5023"/>
    <w:rsid w:val="00FC5056"/>
    <w:rsid w:val="00FD161A"/>
    <w:rsid w:val="00FD2271"/>
    <w:rsid w:val="00FE70E5"/>
    <w:rsid w:val="00FE777A"/>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436FC0C"/>
  <w15:docId w15:val="{2CE2A335-5087-46D3-A48C-708DCE7F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9FA2599-A7FF-4134-8BB2-FCE7DC28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Muster-Spezialfinanzierungsreglement Schwankungsreserve</dc:title>
  <dc:creator/>
  <dc:description/>
  <cp:lastModifiedBy>Zurbuchen Kathrin, DIJ-AGR-GeM</cp:lastModifiedBy>
  <cp:revision>8</cp:revision>
  <cp:lastPrinted>2019-09-11T20:00:00Z</cp:lastPrinted>
  <dcterms:created xsi:type="dcterms:W3CDTF">2022-03-14T10:32:00Z</dcterms:created>
  <dcterms:modified xsi:type="dcterms:W3CDTF">2023-06-27T06:16:00Z</dcterms:modified>
</cp:coreProperties>
</file>