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A06" w:rsidRDefault="00350A06">
      <w:pPr>
        <w:jc w:val="center"/>
        <w:rPr>
          <w:lang w:val="fr-CH"/>
        </w:rPr>
      </w:pPr>
      <w:r>
        <w:rPr>
          <w:lang w:val="fr-CH"/>
        </w:rPr>
        <w:t xml:space="preserve">CONTRAT </w:t>
      </w:r>
      <w:bookmarkStart w:id="0" w:name="_GoBack"/>
      <w:bookmarkEnd w:id="0"/>
    </w:p>
    <w:p w:rsidR="00350A06" w:rsidRDefault="00350A06">
      <w:pPr>
        <w:jc w:val="center"/>
        <w:rPr>
          <w:lang w:val="fr-CH"/>
        </w:rPr>
      </w:pPr>
      <w:proofErr w:type="gramStart"/>
      <w:r>
        <w:rPr>
          <w:lang w:val="fr-CH"/>
        </w:rPr>
        <w:t>entre</w:t>
      </w:r>
      <w:proofErr w:type="gramEnd"/>
      <w:r>
        <w:rPr>
          <w:lang w:val="fr-CH"/>
        </w:rPr>
        <w:t xml:space="preserve"> la</w:t>
      </w:r>
    </w:p>
    <w:p w:rsidR="00350A06" w:rsidRDefault="00350A06">
      <w:pPr>
        <w:jc w:val="center"/>
        <w:rPr>
          <w:lang w:val="fr-CH"/>
        </w:rPr>
      </w:pPr>
      <w:proofErr w:type="gramStart"/>
      <w:r>
        <w:rPr>
          <w:lang w:val="fr-CH"/>
        </w:rPr>
        <w:t>commune</w:t>
      </w:r>
      <w:proofErr w:type="gramEnd"/>
      <w:r>
        <w:rPr>
          <w:lang w:val="fr-CH"/>
        </w:rPr>
        <w:t xml:space="preserve"> de FRUTIGEN (commune-siège)</w:t>
      </w:r>
    </w:p>
    <w:p w:rsidR="00350A06" w:rsidRDefault="00350A06">
      <w:pPr>
        <w:jc w:val="center"/>
        <w:rPr>
          <w:lang w:val="fr-CH"/>
        </w:rPr>
      </w:pPr>
      <w:proofErr w:type="gramStart"/>
      <w:r>
        <w:rPr>
          <w:lang w:val="fr-CH"/>
        </w:rPr>
        <w:t>et</w:t>
      </w:r>
      <w:proofErr w:type="gramEnd"/>
      <w:r>
        <w:rPr>
          <w:lang w:val="fr-CH"/>
        </w:rPr>
        <w:t xml:space="preserve"> les</w:t>
      </w:r>
    </w:p>
    <w:p w:rsidR="00350A06" w:rsidRDefault="00350A06">
      <w:pPr>
        <w:jc w:val="center"/>
        <w:rPr>
          <w:lang w:val="fr-CH"/>
        </w:rPr>
      </w:pPr>
      <w:proofErr w:type="gramStart"/>
      <w:r>
        <w:rPr>
          <w:lang w:val="fr-CH"/>
        </w:rPr>
        <w:t>communes</w:t>
      </w:r>
      <w:proofErr w:type="gramEnd"/>
      <w:r>
        <w:rPr>
          <w:lang w:val="fr-CH"/>
        </w:rPr>
        <w:t xml:space="preserve"> d'ADELBODEN, d'AESCHI, de KANDERGRUND, de KANDERSTEG et de KRATTIGEN (communes affiliées)</w:t>
      </w:r>
    </w:p>
    <w:p w:rsidR="00350A06" w:rsidRDefault="00350A06">
      <w:pPr>
        <w:rPr>
          <w:lang w:val="fr-CH"/>
        </w:rPr>
      </w:pPr>
    </w:p>
    <w:p w:rsidR="00350A06" w:rsidRDefault="00350A06">
      <w:pPr>
        <w:pBdr>
          <w:bottom w:val="single" w:sz="6" w:space="1" w:color="auto"/>
        </w:pBdr>
        <w:jc w:val="center"/>
        <w:rPr>
          <w:lang w:val="fr-CH"/>
        </w:rPr>
      </w:pPr>
      <w:proofErr w:type="gramStart"/>
      <w:r>
        <w:rPr>
          <w:lang w:val="fr-CH"/>
        </w:rPr>
        <w:t>concernant</w:t>
      </w:r>
      <w:proofErr w:type="gramEnd"/>
      <w:r>
        <w:rPr>
          <w:lang w:val="fr-CH"/>
        </w:rPr>
        <w:t xml:space="preserve"> la direction de l'autorité sociale régionale ainsi que du service social régional selon la loi cantonale sur l'aide sociale. </w:t>
      </w:r>
    </w:p>
    <w:p w:rsidR="00350A06" w:rsidRDefault="00350A06">
      <w:pPr>
        <w:pBdr>
          <w:bottom w:val="single" w:sz="6" w:space="1" w:color="auto"/>
        </w:pBdr>
        <w:jc w:val="center"/>
        <w:rPr>
          <w:lang w:val="fr-CH"/>
        </w:rPr>
      </w:pPr>
    </w:p>
    <w:p w:rsidR="00350A06" w:rsidRDefault="00350A06">
      <w:pPr>
        <w:rPr>
          <w:lang w:val="fr-CH"/>
        </w:rPr>
      </w:pPr>
    </w:p>
    <w:tbl>
      <w:tblPr>
        <w:tblW w:w="0" w:type="auto"/>
        <w:tblLayout w:type="fixed"/>
        <w:tblCellMar>
          <w:left w:w="70" w:type="dxa"/>
          <w:right w:w="70" w:type="dxa"/>
        </w:tblCellMar>
        <w:tblLook w:val="0000" w:firstRow="0" w:lastRow="0" w:firstColumn="0" w:lastColumn="0" w:noHBand="0" w:noVBand="0"/>
      </w:tblPr>
      <w:tblGrid>
        <w:gridCol w:w="1771"/>
        <w:gridCol w:w="567"/>
        <w:gridCol w:w="6872"/>
        <w:gridCol w:w="454"/>
        <w:gridCol w:w="6985"/>
      </w:tblGrid>
      <w:tr w:rsidR="00350A06">
        <w:trPr>
          <w:gridAfter w:val="2"/>
          <w:wAfter w:w="7439" w:type="dxa"/>
        </w:trPr>
        <w:tc>
          <w:tcPr>
            <w:tcW w:w="1771" w:type="dxa"/>
            <w:tcBorders>
              <w:top w:val="nil"/>
              <w:left w:val="nil"/>
              <w:bottom w:val="nil"/>
              <w:right w:val="nil"/>
            </w:tcBorders>
          </w:tcPr>
          <w:p w:rsidR="00350A06" w:rsidRDefault="00350A06">
            <w:pPr>
              <w:rPr>
                <w:lang w:val="fr-CH"/>
              </w:rPr>
            </w:pPr>
          </w:p>
        </w:tc>
        <w:tc>
          <w:tcPr>
            <w:tcW w:w="7439" w:type="dxa"/>
            <w:gridSpan w:val="2"/>
            <w:tcBorders>
              <w:top w:val="nil"/>
              <w:left w:val="nil"/>
              <w:bottom w:val="nil"/>
              <w:right w:val="nil"/>
            </w:tcBorders>
          </w:tcPr>
          <w:p w:rsidR="00350A06" w:rsidRDefault="00350A06">
            <w:pPr>
              <w:rPr>
                <w:lang w:val="fr-CH"/>
              </w:rPr>
            </w:pPr>
            <w:r>
              <w:rPr>
                <w:lang w:val="fr-CH"/>
              </w:rPr>
              <w:t>TRANSFERT DE TÂCHES</w:t>
            </w:r>
          </w:p>
        </w:tc>
      </w:tr>
      <w:tr w:rsidR="00350A06">
        <w:trPr>
          <w:gridAfter w:val="2"/>
          <w:wAfter w:w="7439" w:type="dxa"/>
        </w:trPr>
        <w:tc>
          <w:tcPr>
            <w:tcW w:w="1771" w:type="dxa"/>
            <w:tcBorders>
              <w:top w:val="nil"/>
              <w:left w:val="nil"/>
              <w:bottom w:val="nil"/>
              <w:right w:val="nil"/>
            </w:tcBorders>
          </w:tcPr>
          <w:p w:rsidR="00350A06" w:rsidRDefault="00350A06">
            <w:pPr>
              <w:rPr>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rsidP="006829DB">
            <w:pPr>
              <w:rPr>
                <w:sz w:val="20"/>
                <w:lang w:val="fr-CH"/>
              </w:rPr>
            </w:pPr>
            <w:r>
              <w:rPr>
                <w:sz w:val="20"/>
                <w:lang w:val="fr-CH"/>
              </w:rPr>
              <w:t>Prestations</w:t>
            </w:r>
            <w:r w:rsidR="006829DB">
              <w:rPr>
                <w:sz w:val="20"/>
                <w:lang w:val="fr-CH"/>
              </w:rPr>
              <w:t xml:space="preserve"> </w:t>
            </w:r>
            <w:r>
              <w:rPr>
                <w:sz w:val="20"/>
                <w:lang w:val="fr-CH"/>
              </w:rPr>
              <w:t>de base</w:t>
            </w:r>
          </w:p>
        </w:tc>
        <w:tc>
          <w:tcPr>
            <w:tcW w:w="7439" w:type="dxa"/>
            <w:gridSpan w:val="2"/>
            <w:tcBorders>
              <w:top w:val="nil"/>
              <w:left w:val="nil"/>
              <w:bottom w:val="nil"/>
              <w:right w:val="nil"/>
            </w:tcBorders>
          </w:tcPr>
          <w:p w:rsidR="00350A06" w:rsidRDefault="00350A06">
            <w:pPr>
              <w:tabs>
                <w:tab w:val="left" w:pos="355"/>
              </w:tabs>
              <w:rPr>
                <w:lang w:val="fr-CH"/>
              </w:rPr>
            </w:pPr>
            <w:r>
              <w:rPr>
                <w:lang w:val="fr-CH"/>
              </w:rPr>
              <w:t>Art. 1</w:t>
            </w:r>
          </w:p>
          <w:p w:rsidR="00350A06" w:rsidRDefault="00350A06">
            <w:pPr>
              <w:tabs>
                <w:tab w:val="left" w:pos="355"/>
              </w:tabs>
              <w:rPr>
                <w:lang w:val="fr-CH"/>
              </w:rPr>
            </w:pPr>
            <w:r>
              <w:rPr>
                <w:vertAlign w:val="superscript"/>
                <w:lang w:val="fr-CH"/>
              </w:rPr>
              <w:t>1</w:t>
            </w:r>
            <w:r>
              <w:rPr>
                <w:lang w:val="fr-CH"/>
              </w:rPr>
              <w:t xml:space="preserve"> Les communes d'Adelboden, d'Aeschi, de Kandergrund, de Kandersteg et de Krattigen (communes affiliées) transfèrent à la commune de Frutigen (commune-siège) toutes les tâches que la réglementation cantonale en matière d'aide sociale attribue à l'autorité sociale et au service social communaux (prestations de base). </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vertAlign w:val="superscript"/>
                <w:lang w:val="fr-CH"/>
              </w:rPr>
              <w:t>2</w:t>
            </w:r>
            <w:r>
              <w:rPr>
                <w:lang w:val="fr-CH"/>
              </w:rPr>
              <w:t xml:space="preserve"> L'article  20 est réservé.</w:t>
            </w:r>
          </w:p>
        </w:tc>
      </w:tr>
      <w:tr w:rsidR="00350A06">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rsidP="006829DB">
            <w:pPr>
              <w:rPr>
                <w:sz w:val="20"/>
                <w:lang w:val="fr-CH"/>
              </w:rPr>
            </w:pPr>
            <w:r>
              <w:rPr>
                <w:sz w:val="20"/>
                <w:lang w:val="fr-CH"/>
              </w:rPr>
              <w:t>Prestations</w:t>
            </w:r>
            <w:r w:rsidR="006829DB">
              <w:rPr>
                <w:sz w:val="20"/>
                <w:lang w:val="fr-CH"/>
              </w:rPr>
              <w:t xml:space="preserve"> </w:t>
            </w:r>
            <w:r>
              <w:rPr>
                <w:sz w:val="20"/>
                <w:lang w:val="fr-CH"/>
              </w:rPr>
              <w:t>complémentaires</w:t>
            </w:r>
          </w:p>
        </w:tc>
        <w:tc>
          <w:tcPr>
            <w:tcW w:w="7439" w:type="dxa"/>
            <w:gridSpan w:val="2"/>
            <w:tcBorders>
              <w:top w:val="nil"/>
              <w:left w:val="nil"/>
              <w:bottom w:val="nil"/>
              <w:right w:val="nil"/>
            </w:tcBorders>
          </w:tcPr>
          <w:p w:rsidR="00350A06" w:rsidRDefault="00350A06">
            <w:pPr>
              <w:rPr>
                <w:lang w:val="fr-CH"/>
              </w:rPr>
            </w:pPr>
            <w:r>
              <w:rPr>
                <w:lang w:val="fr-CH"/>
              </w:rPr>
              <w:t>Art. 2</w:t>
            </w:r>
          </w:p>
          <w:p w:rsidR="00350A06" w:rsidRDefault="00350A06">
            <w:pPr>
              <w:rPr>
                <w:lang w:val="fr-CH"/>
              </w:rPr>
            </w:pPr>
            <w:r>
              <w:rPr>
                <w:vertAlign w:val="superscript"/>
                <w:lang w:val="fr-CH"/>
              </w:rPr>
              <w:t>1</w:t>
            </w:r>
            <w:r>
              <w:rPr>
                <w:lang w:val="fr-CH"/>
              </w:rPr>
              <w:t xml:space="preserve"> La commune-siège accomplit en outre pour les communes affiliées, à leur demande, des tâches dans les domaines suivants: avances de contributions d'entretien, recouvrement / tutelles / mesures de protection de l'enfance, </w:t>
            </w:r>
            <w:r w:rsidRPr="006829DB">
              <w:rPr>
                <w:lang w:val="fr-CH"/>
              </w:rPr>
              <w:t xml:space="preserve">surveillance du placement d'enfants </w:t>
            </w:r>
            <w:r>
              <w:rPr>
                <w:lang w:val="fr-CH"/>
              </w:rPr>
              <w:t xml:space="preserve">(prestations complémentaires). </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pStyle w:val="Kopfzeile"/>
              <w:tabs>
                <w:tab w:val="clear" w:pos="4536"/>
                <w:tab w:val="clear" w:pos="9072"/>
                <w:tab w:val="left" w:pos="3616"/>
              </w:tabs>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vertAlign w:val="superscript"/>
                <w:lang w:val="fr-CH"/>
              </w:rPr>
              <w:t>2</w:t>
            </w:r>
            <w:r>
              <w:rPr>
                <w:lang w:val="fr-CH"/>
              </w:rPr>
              <w:t xml:space="preserve"> Les prestations complémentaires souhaitées sont précisées par chaque commune affiliée dans une annexe au présent contrat. </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Droit applicable</w:t>
            </w:r>
          </w:p>
        </w:tc>
        <w:tc>
          <w:tcPr>
            <w:tcW w:w="7439" w:type="dxa"/>
            <w:gridSpan w:val="2"/>
            <w:tcBorders>
              <w:top w:val="nil"/>
              <w:left w:val="nil"/>
              <w:bottom w:val="nil"/>
              <w:right w:val="nil"/>
            </w:tcBorders>
          </w:tcPr>
          <w:p w:rsidR="00350A06" w:rsidRDefault="00350A06">
            <w:pPr>
              <w:rPr>
                <w:lang w:val="fr-CH"/>
              </w:rPr>
            </w:pPr>
            <w:r>
              <w:rPr>
                <w:lang w:val="fr-CH"/>
              </w:rPr>
              <w:t>Art. 3</w:t>
            </w:r>
          </w:p>
          <w:p w:rsidR="00350A06" w:rsidRDefault="00350A06">
            <w:pPr>
              <w:rPr>
                <w:lang w:val="fr-CH"/>
              </w:rPr>
            </w:pPr>
            <w:r>
              <w:rPr>
                <w:lang w:val="fr-CH"/>
              </w:rPr>
              <w:t>Les communes affiliées se soumettent, dans le cadre du présent contrat,</w:t>
            </w:r>
          </w:p>
          <w:p w:rsidR="00350A06" w:rsidRDefault="00350A06">
            <w:pPr>
              <w:rPr>
                <w:lang w:val="fr-CH"/>
              </w:rPr>
            </w:pPr>
            <w:r>
              <w:rPr>
                <w:lang w:val="fr-CH"/>
              </w:rPr>
              <w:t>aux prescriptions de la commune-siège.</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Norme qualitative</w:t>
            </w:r>
          </w:p>
        </w:tc>
        <w:tc>
          <w:tcPr>
            <w:tcW w:w="7439" w:type="dxa"/>
            <w:gridSpan w:val="2"/>
            <w:tcBorders>
              <w:top w:val="nil"/>
              <w:left w:val="nil"/>
              <w:bottom w:val="nil"/>
              <w:right w:val="nil"/>
            </w:tcBorders>
          </w:tcPr>
          <w:p w:rsidR="00350A06" w:rsidRDefault="00350A06">
            <w:pPr>
              <w:rPr>
                <w:lang w:val="fr-CH"/>
              </w:rPr>
            </w:pPr>
            <w:r>
              <w:rPr>
                <w:lang w:val="fr-CH"/>
              </w:rPr>
              <w:t>Art. 4</w:t>
            </w:r>
          </w:p>
          <w:p w:rsidR="00350A06" w:rsidRDefault="00350A06">
            <w:pPr>
              <w:rPr>
                <w:lang w:val="fr-CH"/>
              </w:rPr>
            </w:pPr>
            <w:r>
              <w:rPr>
                <w:vertAlign w:val="superscript"/>
                <w:lang w:val="fr-CH"/>
              </w:rPr>
              <w:t>1</w:t>
            </w:r>
            <w:r>
              <w:rPr>
                <w:lang w:val="fr-CH"/>
              </w:rPr>
              <w:t xml:space="preserve"> La commune-siège accomplit pour les communes affiliées toutes les tâches en vertu des prescriptions de la législation supérieure ainsi que des directives de la commission "autorité sociale régionale" (ci-après: la commission) selon l'article 12.</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vertAlign w:val="superscript"/>
                <w:lang w:val="fr-CH"/>
              </w:rPr>
              <w:t>2</w:t>
            </w:r>
            <w:r>
              <w:rPr>
                <w:lang w:val="fr-CH"/>
              </w:rPr>
              <w:t xml:space="preserve"> Elle veille à accomplir ses tâches d'une manière rationnelle et économique, en faisant appel aux prestations d'autres institutions de droit privé ou de droit public.</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lang w:val="fr-CH"/>
              </w:rPr>
              <w:t>DISPOSITIONS FINANCIÈRES</w:t>
            </w:r>
          </w:p>
        </w:tc>
      </w:tr>
      <w:tr w:rsidR="00350A06">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Bases de calcul</w:t>
            </w:r>
            <w:r>
              <w:rPr>
                <w:sz w:val="20"/>
                <w:lang w:val="fr-CH"/>
              </w:rPr>
              <w:br/>
            </w:r>
          </w:p>
        </w:tc>
        <w:tc>
          <w:tcPr>
            <w:tcW w:w="7439" w:type="dxa"/>
            <w:gridSpan w:val="2"/>
            <w:tcBorders>
              <w:top w:val="nil"/>
              <w:left w:val="nil"/>
              <w:bottom w:val="nil"/>
              <w:right w:val="nil"/>
            </w:tcBorders>
          </w:tcPr>
          <w:p w:rsidR="00350A06" w:rsidRDefault="00350A06">
            <w:pPr>
              <w:rPr>
                <w:lang w:val="fr-CH"/>
              </w:rPr>
            </w:pPr>
            <w:r>
              <w:rPr>
                <w:lang w:val="fr-CH"/>
              </w:rPr>
              <w:t>Art. 5</w:t>
            </w:r>
          </w:p>
          <w:p w:rsidR="00350A06" w:rsidRDefault="00350A06">
            <w:pPr>
              <w:rPr>
                <w:lang w:val="fr-CH"/>
              </w:rPr>
            </w:pPr>
            <w:r>
              <w:rPr>
                <w:lang w:val="fr-CH"/>
              </w:rPr>
              <w:t xml:space="preserve">Les communes affiliées indemnisent la commune-siège pour ses prestations de base en fonction de leur capacité contributive. </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lang w:val="fr-CH"/>
              </w:rPr>
              <w:t>Art. 6</w:t>
            </w:r>
          </w:p>
          <w:p w:rsidR="00350A06" w:rsidRDefault="00350A06">
            <w:pPr>
              <w:rPr>
                <w:lang w:val="fr-CH"/>
              </w:rPr>
            </w:pPr>
            <w:r>
              <w:rPr>
                <w:vertAlign w:val="superscript"/>
                <w:lang w:val="fr-CH"/>
              </w:rPr>
              <w:lastRenderedPageBreak/>
              <w:t>1</w:t>
            </w:r>
            <w:r>
              <w:rPr>
                <w:lang w:val="fr-CH"/>
              </w:rPr>
              <w:t xml:space="preserve"> Les prestations complémentaires sont indemnisées selon le coût effectif.</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vertAlign w:val="superscript"/>
                <w:lang w:val="fr-CH"/>
              </w:rPr>
              <w:t>2</w:t>
            </w:r>
            <w:r>
              <w:rPr>
                <w:lang w:val="fr-CH"/>
              </w:rPr>
              <w:t xml:space="preserve"> Le tarif horaire est adapté chaque année.</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pStyle w:val="Kopfzeile"/>
              <w:tabs>
                <w:tab w:val="clear" w:pos="4536"/>
                <w:tab w:val="clear" w:pos="9072"/>
              </w:tabs>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Compensation</w:t>
            </w:r>
          </w:p>
          <w:p w:rsidR="00350A06" w:rsidRDefault="00350A06">
            <w:pPr>
              <w:rPr>
                <w:sz w:val="20"/>
                <w:lang w:val="fr-CH"/>
              </w:rPr>
            </w:pPr>
            <w:r>
              <w:rPr>
                <w:sz w:val="20"/>
                <w:lang w:val="fr-CH"/>
              </w:rPr>
              <w:t>des charges</w:t>
            </w:r>
          </w:p>
        </w:tc>
        <w:tc>
          <w:tcPr>
            <w:tcW w:w="7439" w:type="dxa"/>
            <w:gridSpan w:val="2"/>
            <w:tcBorders>
              <w:top w:val="nil"/>
              <w:left w:val="nil"/>
              <w:bottom w:val="nil"/>
              <w:right w:val="nil"/>
            </w:tcBorders>
          </w:tcPr>
          <w:p w:rsidR="00350A06" w:rsidRDefault="00350A06">
            <w:pPr>
              <w:rPr>
                <w:lang w:val="fr-CH"/>
              </w:rPr>
            </w:pPr>
            <w:r>
              <w:rPr>
                <w:lang w:val="fr-CH"/>
              </w:rPr>
              <w:t>Art. 7</w:t>
            </w:r>
          </w:p>
          <w:p w:rsidR="00350A06" w:rsidRDefault="00350A06">
            <w:pPr>
              <w:rPr>
                <w:lang w:val="fr-CH"/>
              </w:rPr>
            </w:pPr>
            <w:r>
              <w:rPr>
                <w:vertAlign w:val="superscript"/>
                <w:lang w:val="fr-CH"/>
              </w:rPr>
              <w:t>1</w:t>
            </w:r>
            <w:r>
              <w:rPr>
                <w:lang w:val="fr-CH"/>
              </w:rPr>
              <w:t xml:space="preserve"> La commune-siège consigne directement dans le compte de compensation des charges les coûts admis à la compensation des charges (dépenses liées aux traitements et au perfectionnement du personnel spécialisé, aux traitements du personnel administratif du service social ainsi qu'aux prestations de l'aide économique).</w:t>
            </w:r>
          </w:p>
        </w:tc>
      </w:tr>
      <w:tr w:rsidR="00350A06" w:rsidRPr="003A57EA">
        <w:trPr>
          <w:gridAfter w:val="2"/>
          <w:wAfter w:w="7439" w:type="dxa"/>
        </w:trPr>
        <w:tc>
          <w:tcPr>
            <w:tcW w:w="1771" w:type="dxa"/>
            <w:tcBorders>
              <w:top w:val="nil"/>
              <w:left w:val="nil"/>
              <w:bottom w:val="nil"/>
              <w:right w:val="nil"/>
            </w:tcBorders>
          </w:tcPr>
          <w:p w:rsidR="00350A06" w:rsidRDefault="00350A06">
            <w:pPr>
              <w:rPr>
                <w:color w:val="FF0000"/>
                <w:sz w:val="20"/>
                <w:lang w:val="fr-CH"/>
              </w:rPr>
            </w:pPr>
          </w:p>
        </w:tc>
        <w:tc>
          <w:tcPr>
            <w:tcW w:w="7439" w:type="dxa"/>
            <w:gridSpan w:val="2"/>
            <w:tcBorders>
              <w:top w:val="nil"/>
              <w:left w:val="nil"/>
              <w:bottom w:val="nil"/>
              <w:right w:val="nil"/>
            </w:tcBorders>
          </w:tcPr>
          <w:p w:rsidR="00350A06" w:rsidRDefault="00350A06">
            <w:pPr>
              <w:rPr>
                <w:color w:val="FF0000"/>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Préfinancement</w:t>
            </w:r>
          </w:p>
        </w:tc>
        <w:tc>
          <w:tcPr>
            <w:tcW w:w="7439" w:type="dxa"/>
            <w:gridSpan w:val="2"/>
            <w:tcBorders>
              <w:top w:val="nil"/>
              <w:left w:val="nil"/>
              <w:bottom w:val="nil"/>
              <w:right w:val="nil"/>
            </w:tcBorders>
          </w:tcPr>
          <w:p w:rsidR="00350A06" w:rsidRDefault="00350A06">
            <w:pPr>
              <w:rPr>
                <w:lang w:val="fr-CH"/>
              </w:rPr>
            </w:pPr>
            <w:r>
              <w:rPr>
                <w:vertAlign w:val="superscript"/>
                <w:lang w:val="fr-CH"/>
              </w:rPr>
              <w:t>2</w:t>
            </w:r>
            <w:r>
              <w:rPr>
                <w:lang w:val="fr-CH"/>
              </w:rPr>
              <w:t xml:space="preserve"> La commune-siège prend à sa charge le préfinancement des coûts admis à la compensation des charges pour les dépenses liées aux traitements et au perfectionnement.</w:t>
            </w:r>
          </w:p>
          <w:p w:rsidR="00350A06" w:rsidRDefault="00350A06">
            <w:pPr>
              <w:rPr>
                <w:lang w:val="fr-CH"/>
              </w:rPr>
            </w:pPr>
          </w:p>
          <w:p w:rsidR="00350A06" w:rsidRDefault="00350A06">
            <w:pPr>
              <w:rPr>
                <w:lang w:val="fr-CH"/>
              </w:rPr>
            </w:pPr>
            <w:r>
              <w:rPr>
                <w:vertAlign w:val="superscript"/>
                <w:lang w:val="fr-CH"/>
              </w:rPr>
              <w:t>3</w:t>
            </w:r>
            <w:r>
              <w:rPr>
                <w:lang w:val="fr-CH"/>
              </w:rPr>
              <w:t xml:space="preserve"> Les communes affiliées paient à titre d'intérêt le préfinancement des prestations de l'aide économique à un taux actuellement de 2.5 pour cent par année (taux combiné calculé sur la base du taux pratiqué par la Spar- und Leihkasse Frutigen [SLF] pour des hypothèques de premier rang et du taux d'intérêt en vigueur pour les comptes courants de la SLF et la Poste). En cas de modification des taux d'intérêt, ce taux combiné est à chaque fois adapté pour le 1</w:t>
            </w:r>
            <w:r>
              <w:rPr>
                <w:vertAlign w:val="superscript"/>
                <w:lang w:val="fr-CH"/>
              </w:rPr>
              <w:t>er</w:t>
            </w:r>
            <w:r>
              <w:rPr>
                <w:lang w:val="fr-CH"/>
              </w:rPr>
              <w:t xml:space="preserve"> janvier de l'année suivante.</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pStyle w:val="Kopfzeile"/>
              <w:tabs>
                <w:tab w:val="clear" w:pos="4536"/>
                <w:tab w:val="clear" w:pos="9072"/>
              </w:tabs>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Décompte final</w:t>
            </w:r>
          </w:p>
        </w:tc>
        <w:tc>
          <w:tcPr>
            <w:tcW w:w="7439" w:type="dxa"/>
            <w:gridSpan w:val="2"/>
            <w:tcBorders>
              <w:top w:val="nil"/>
              <w:left w:val="nil"/>
              <w:bottom w:val="nil"/>
              <w:right w:val="nil"/>
            </w:tcBorders>
          </w:tcPr>
          <w:p w:rsidR="00350A06" w:rsidRDefault="00350A06">
            <w:pPr>
              <w:rPr>
                <w:lang w:val="fr-CH"/>
              </w:rPr>
            </w:pPr>
            <w:r>
              <w:rPr>
                <w:lang w:val="fr-CH"/>
              </w:rPr>
              <w:t>Art. 8</w:t>
            </w:r>
          </w:p>
          <w:p w:rsidR="00350A06" w:rsidRDefault="00350A06">
            <w:pPr>
              <w:rPr>
                <w:lang w:val="fr-CH"/>
              </w:rPr>
            </w:pPr>
            <w:r>
              <w:rPr>
                <w:lang w:val="fr-CH"/>
              </w:rPr>
              <w:t>La part encore due par les communes affiliées leur est facturée à la fin de l'année civile, au plus tard jusqu'à fin février de l'année suivante.</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Vérification des comptes</w:t>
            </w:r>
          </w:p>
        </w:tc>
        <w:tc>
          <w:tcPr>
            <w:tcW w:w="7439" w:type="dxa"/>
            <w:gridSpan w:val="2"/>
            <w:tcBorders>
              <w:top w:val="nil"/>
              <w:left w:val="nil"/>
              <w:bottom w:val="nil"/>
              <w:right w:val="nil"/>
            </w:tcBorders>
          </w:tcPr>
          <w:p w:rsidR="00350A06" w:rsidRDefault="00350A06">
            <w:pPr>
              <w:rPr>
                <w:lang w:val="fr-CH"/>
              </w:rPr>
            </w:pPr>
            <w:r>
              <w:rPr>
                <w:lang w:val="fr-CH"/>
              </w:rPr>
              <w:t>Art. 9</w:t>
            </w:r>
          </w:p>
          <w:p w:rsidR="00350A06" w:rsidRDefault="00350A06">
            <w:pPr>
              <w:rPr>
                <w:lang w:val="fr-CH"/>
              </w:rPr>
            </w:pPr>
            <w:r>
              <w:rPr>
                <w:lang w:val="fr-CH"/>
              </w:rPr>
              <w:t>La vérification des comptes est assurée par l'organe compétent de la commune-siège.</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lang w:val="fr-CH"/>
              </w:rPr>
              <w:t>ORGANISATION</w:t>
            </w:r>
          </w:p>
        </w:tc>
      </w:tr>
      <w:tr w:rsidR="00350A06">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b/>
                <w:i/>
                <w:lang w:val="fr-CH"/>
              </w:rPr>
            </w:pPr>
          </w:p>
        </w:tc>
      </w:tr>
      <w:tr w:rsidR="00350A06">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b/>
                <w:lang w:val="fr-CH"/>
              </w:rPr>
              <w:t xml:space="preserve">Autorité sociale régionale </w:t>
            </w:r>
          </w:p>
        </w:tc>
      </w:tr>
      <w:tr w:rsidR="00350A06">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pStyle w:val="Kopfzeile"/>
              <w:tabs>
                <w:tab w:val="clear" w:pos="4536"/>
                <w:tab w:val="clear" w:pos="9072"/>
              </w:tabs>
              <w:rPr>
                <w:lang w:val="fr-CH"/>
              </w:rPr>
            </w:pPr>
            <w:r>
              <w:rPr>
                <w:lang w:val="fr-CH"/>
              </w:rPr>
              <w:t>Art. 10</w:t>
            </w:r>
          </w:p>
          <w:p w:rsidR="00350A06" w:rsidRDefault="00350A06">
            <w:pPr>
              <w:rPr>
                <w:lang w:val="fr-CH"/>
              </w:rPr>
            </w:pPr>
            <w:r>
              <w:rPr>
                <w:lang w:val="fr-CH"/>
              </w:rPr>
              <w:t xml:space="preserve">La commission permanente "autorité sociale régionale" (ci-après: la commission) de la commune-siège est l'autorité sociale pour les parties au contrat au sens de la loi sur l'aide sociale (LASoc). </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tc>
          <w:tcPr>
            <w:tcW w:w="1771" w:type="dxa"/>
            <w:tcBorders>
              <w:top w:val="nil"/>
              <w:left w:val="nil"/>
              <w:bottom w:val="nil"/>
              <w:right w:val="nil"/>
            </w:tcBorders>
          </w:tcPr>
          <w:p w:rsidR="00350A06" w:rsidRDefault="00350A06">
            <w:pPr>
              <w:rPr>
                <w:sz w:val="20"/>
                <w:lang w:val="fr-CH"/>
              </w:rPr>
            </w:pPr>
            <w:r>
              <w:rPr>
                <w:sz w:val="20"/>
                <w:lang w:val="fr-CH"/>
              </w:rPr>
              <w:t>Composition</w:t>
            </w:r>
          </w:p>
        </w:tc>
        <w:tc>
          <w:tcPr>
            <w:tcW w:w="7439" w:type="dxa"/>
            <w:gridSpan w:val="2"/>
            <w:tcBorders>
              <w:top w:val="nil"/>
              <w:left w:val="nil"/>
              <w:bottom w:val="nil"/>
              <w:right w:val="nil"/>
            </w:tcBorders>
          </w:tcPr>
          <w:p w:rsidR="00350A06" w:rsidRDefault="00350A06">
            <w:pPr>
              <w:pStyle w:val="Kopfzeile"/>
              <w:tabs>
                <w:tab w:val="clear" w:pos="4536"/>
                <w:tab w:val="clear" w:pos="9072"/>
              </w:tabs>
              <w:rPr>
                <w:lang w:val="fr-CH"/>
              </w:rPr>
            </w:pPr>
            <w:r>
              <w:rPr>
                <w:lang w:val="fr-CH"/>
              </w:rPr>
              <w:t>Art. 11</w:t>
            </w:r>
          </w:p>
          <w:p w:rsidR="00350A06" w:rsidRDefault="00350A06">
            <w:pPr>
              <w:rPr>
                <w:lang w:val="fr-CH"/>
              </w:rPr>
            </w:pPr>
            <w:r>
              <w:rPr>
                <w:vertAlign w:val="superscript"/>
                <w:lang w:val="fr-CH"/>
              </w:rPr>
              <w:t>1</w:t>
            </w:r>
            <w:r>
              <w:rPr>
                <w:lang w:val="fr-CH"/>
              </w:rPr>
              <w:t xml:space="preserve"> La commission se compose des chefs de dicastère de toutes les parties au contrat.</w:t>
            </w:r>
          </w:p>
        </w:tc>
        <w:tc>
          <w:tcPr>
            <w:tcW w:w="7439" w:type="dxa"/>
            <w:gridSpan w:val="2"/>
            <w:tcBorders>
              <w:top w:val="nil"/>
              <w:left w:val="nil"/>
              <w:bottom w:val="nil"/>
              <w:right w:val="nil"/>
            </w:tcBorders>
          </w:tcPr>
          <w:p w:rsidR="00350A06" w:rsidRDefault="00350A06">
            <w:pPr>
              <w:rPr>
                <w:lang w:val="fr-CH"/>
              </w:rPr>
            </w:pPr>
            <w:r>
              <w:rPr>
                <w:lang w:val="fr-CH"/>
              </w:rPr>
              <w:t>.</w:t>
            </w:r>
          </w:p>
        </w:tc>
      </w:tr>
      <w:tr w:rsidR="00350A06">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vertAlign w:val="superscript"/>
                <w:lang w:val="fr-CH"/>
              </w:rPr>
              <w:t>2</w:t>
            </w:r>
            <w:r>
              <w:rPr>
                <w:lang w:val="fr-CH"/>
              </w:rPr>
              <w:t xml:space="preserve"> La commission se constitue elle-même.</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vertAlign w:val="superscript"/>
                <w:lang w:val="fr-CH"/>
              </w:rPr>
              <w:t>3</w:t>
            </w:r>
            <w:r>
              <w:rPr>
                <w:lang w:val="fr-CH"/>
              </w:rPr>
              <w:t xml:space="preserve"> Le service social régional assure les travaux de secrétariat.</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Tâches</w:t>
            </w:r>
          </w:p>
        </w:tc>
        <w:tc>
          <w:tcPr>
            <w:tcW w:w="7439" w:type="dxa"/>
            <w:gridSpan w:val="2"/>
            <w:tcBorders>
              <w:top w:val="nil"/>
              <w:left w:val="nil"/>
              <w:bottom w:val="nil"/>
              <w:right w:val="nil"/>
            </w:tcBorders>
          </w:tcPr>
          <w:p w:rsidR="00350A06" w:rsidRDefault="00350A06">
            <w:pPr>
              <w:rPr>
                <w:lang w:val="fr-CH"/>
              </w:rPr>
            </w:pPr>
            <w:r>
              <w:rPr>
                <w:lang w:val="fr-CH"/>
              </w:rPr>
              <w:t>Art. 12</w:t>
            </w:r>
          </w:p>
          <w:p w:rsidR="00350A06" w:rsidRDefault="00350A06">
            <w:pPr>
              <w:rPr>
                <w:lang w:val="fr-CH"/>
              </w:rPr>
            </w:pPr>
            <w:r>
              <w:rPr>
                <w:vertAlign w:val="superscript"/>
                <w:lang w:val="fr-CH"/>
              </w:rPr>
              <w:t>1</w:t>
            </w:r>
            <w:r>
              <w:rPr>
                <w:lang w:val="fr-CH"/>
              </w:rPr>
              <w:t xml:space="preserve"> La commission exécute toutes les tâches de l'autorité sociale pour les parties au contrat en vertu de la LASoc et de l'ordonnance sur l'aide sociale (OASoc) et dispose des compétences nécessaires à cet effet.</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pStyle w:val="Kopfzeile"/>
              <w:tabs>
                <w:tab w:val="clear" w:pos="4536"/>
                <w:tab w:val="clear" w:pos="9072"/>
              </w:tabs>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vertAlign w:val="superscript"/>
                <w:lang w:val="fr-CH"/>
              </w:rPr>
              <w:t>2</w:t>
            </w:r>
            <w:r>
              <w:rPr>
                <w:lang w:val="fr-CH"/>
              </w:rPr>
              <w:t xml:space="preserve"> Elle élabore les directives et les instruments de "controlling" requis par ses tâches stratégiques.</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vertAlign w:val="superscript"/>
                <w:lang w:val="fr-CH"/>
              </w:rPr>
              <w:t>3</w:t>
            </w:r>
            <w:r>
              <w:rPr>
                <w:lang w:val="fr-CH"/>
              </w:rPr>
              <w:t xml:space="preserve"> Elle rend les décisions définitives dans tous les domaines qui ressortissent à l'autorité sociale selon la législation cantonale en matière d'aide sociale.</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vertAlign w:val="superscript"/>
                <w:lang w:val="fr-CH"/>
              </w:rPr>
              <w:t>4</w:t>
            </w:r>
            <w:r>
              <w:rPr>
                <w:lang w:val="fr-CH"/>
              </w:rPr>
              <w:t xml:space="preserve"> Dans le cadre des tâches que définit l'article 17, lettre b LASoc, il incombe en particulier à la commission</w:t>
            </w:r>
          </w:p>
          <w:p w:rsidR="00350A06" w:rsidRDefault="00350A06" w:rsidP="006829DB">
            <w:pPr>
              <w:numPr>
                <w:ilvl w:val="0"/>
                <w:numId w:val="6"/>
              </w:numPr>
              <w:rPr>
                <w:lang w:val="fr-CH"/>
              </w:rPr>
            </w:pPr>
            <w:proofErr w:type="gramStart"/>
            <w:r>
              <w:rPr>
                <w:lang w:val="fr-CH"/>
              </w:rPr>
              <w:t>de</w:t>
            </w:r>
            <w:proofErr w:type="gramEnd"/>
            <w:r>
              <w:rPr>
                <w:lang w:val="fr-CH"/>
              </w:rPr>
              <w:t xml:space="preserve"> surveiller le service social régional et de le soutenir dans l'exécution de ses tâches;</w:t>
            </w:r>
          </w:p>
          <w:p w:rsidR="00350A06" w:rsidRDefault="00350A06" w:rsidP="006829DB">
            <w:pPr>
              <w:numPr>
                <w:ilvl w:val="0"/>
                <w:numId w:val="5"/>
              </w:numPr>
              <w:rPr>
                <w:lang w:val="fr-CH"/>
              </w:rPr>
            </w:pPr>
            <w:proofErr w:type="gramStart"/>
            <w:r>
              <w:rPr>
                <w:lang w:val="fr-CH"/>
              </w:rPr>
              <w:t>de</w:t>
            </w:r>
            <w:proofErr w:type="gramEnd"/>
            <w:r>
              <w:rPr>
                <w:lang w:val="fr-CH"/>
              </w:rPr>
              <w:t xml:space="preserve"> préciser les tâches et les compétences du service social régional dans le cadre de la législation cantonale;</w:t>
            </w:r>
          </w:p>
          <w:p w:rsidR="00350A06" w:rsidRDefault="00350A06" w:rsidP="006829DB">
            <w:pPr>
              <w:numPr>
                <w:ilvl w:val="0"/>
                <w:numId w:val="4"/>
              </w:numPr>
              <w:rPr>
                <w:lang w:val="fr-CH"/>
              </w:rPr>
            </w:pPr>
            <w:proofErr w:type="gramStart"/>
            <w:r>
              <w:rPr>
                <w:lang w:val="fr-CH"/>
              </w:rPr>
              <w:t>de</w:t>
            </w:r>
            <w:proofErr w:type="gramEnd"/>
            <w:r>
              <w:rPr>
                <w:lang w:val="fr-CH"/>
              </w:rPr>
              <w:t xml:space="preserve"> faire des propositions relativement à</w:t>
            </w:r>
          </w:p>
          <w:p w:rsidR="00350A06" w:rsidRDefault="00350A06" w:rsidP="00350A06">
            <w:pPr>
              <w:numPr>
                <w:ilvl w:val="0"/>
                <w:numId w:val="2"/>
              </w:numPr>
              <w:tabs>
                <w:tab w:val="left" w:pos="720"/>
              </w:tabs>
              <w:rPr>
                <w:lang w:val="fr-CH"/>
              </w:rPr>
            </w:pPr>
            <w:proofErr w:type="gramStart"/>
            <w:r>
              <w:rPr>
                <w:lang w:val="fr-CH"/>
              </w:rPr>
              <w:t>l'engagement</w:t>
            </w:r>
            <w:proofErr w:type="gramEnd"/>
            <w:r>
              <w:rPr>
                <w:lang w:val="fr-CH"/>
              </w:rPr>
              <w:t xml:space="preserve"> de personnel dans les limites des pourcentages de postes accordés,</w:t>
            </w:r>
          </w:p>
          <w:p w:rsidR="00350A06" w:rsidRDefault="00350A06" w:rsidP="00350A06">
            <w:pPr>
              <w:numPr>
                <w:ilvl w:val="0"/>
                <w:numId w:val="2"/>
              </w:numPr>
              <w:tabs>
                <w:tab w:val="left" w:pos="720"/>
              </w:tabs>
              <w:rPr>
                <w:lang w:val="fr-CH"/>
              </w:rPr>
            </w:pPr>
            <w:proofErr w:type="gramStart"/>
            <w:r>
              <w:rPr>
                <w:lang w:val="fr-CH"/>
              </w:rPr>
              <w:t>l'engagement</w:t>
            </w:r>
            <w:proofErr w:type="gramEnd"/>
            <w:r>
              <w:rPr>
                <w:lang w:val="fr-CH"/>
              </w:rPr>
              <w:t xml:space="preserve"> d'un directeur / d'une directrice et du personnel spécialisé du service social régional,</w:t>
            </w:r>
          </w:p>
          <w:p w:rsidR="00350A06" w:rsidRDefault="00350A06" w:rsidP="00350A06">
            <w:pPr>
              <w:pStyle w:val="Textkrper21"/>
              <w:numPr>
                <w:ilvl w:val="0"/>
                <w:numId w:val="2"/>
              </w:numPr>
              <w:tabs>
                <w:tab w:val="left" w:pos="720"/>
              </w:tabs>
            </w:pPr>
            <w:proofErr w:type="gramStart"/>
            <w:r>
              <w:t>la</w:t>
            </w:r>
            <w:proofErr w:type="gramEnd"/>
            <w:r>
              <w:t xml:space="preserve"> classification du personnel du service social régional dans l'échelle des traitements de la commune-siège,</w:t>
            </w:r>
          </w:p>
          <w:p w:rsidR="00350A06" w:rsidRDefault="00350A06" w:rsidP="00350A06">
            <w:pPr>
              <w:numPr>
                <w:ilvl w:val="0"/>
                <w:numId w:val="2"/>
              </w:numPr>
              <w:tabs>
                <w:tab w:val="left" w:pos="720"/>
              </w:tabs>
              <w:rPr>
                <w:lang w:val="fr-CH"/>
              </w:rPr>
            </w:pPr>
            <w:r>
              <w:rPr>
                <w:lang w:val="fr-CH"/>
              </w:rPr>
              <w:t>l'approbation du compte annuel et du budget du service social régional.</w:t>
            </w: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p>
        </w:tc>
        <w:tc>
          <w:tcPr>
            <w:tcW w:w="7439" w:type="dxa"/>
            <w:gridSpan w:val="2"/>
            <w:tcBorders>
              <w:top w:val="nil"/>
              <w:left w:val="nil"/>
              <w:bottom w:val="nil"/>
              <w:right w:val="nil"/>
            </w:tcBorders>
          </w:tcPr>
          <w:p w:rsidR="00350A06" w:rsidRDefault="00350A06" w:rsidP="00350A06">
            <w:pPr>
              <w:numPr>
                <w:ilvl w:val="12"/>
                <w:numId w:val="0"/>
              </w:num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r>
              <w:rPr>
                <w:sz w:val="20"/>
                <w:lang w:val="fr-CH"/>
              </w:rPr>
              <w:t>Décisions</w:t>
            </w:r>
          </w:p>
        </w:tc>
        <w:tc>
          <w:tcPr>
            <w:tcW w:w="7439" w:type="dxa"/>
            <w:gridSpan w:val="2"/>
            <w:tcBorders>
              <w:top w:val="nil"/>
              <w:left w:val="nil"/>
              <w:bottom w:val="nil"/>
              <w:right w:val="nil"/>
            </w:tcBorders>
          </w:tcPr>
          <w:p w:rsidR="00350A06" w:rsidRDefault="00350A06" w:rsidP="00350A06">
            <w:pPr>
              <w:numPr>
                <w:ilvl w:val="12"/>
                <w:numId w:val="0"/>
              </w:numPr>
              <w:rPr>
                <w:lang w:val="fr-CH"/>
              </w:rPr>
            </w:pPr>
            <w:r>
              <w:rPr>
                <w:lang w:val="fr-CH"/>
              </w:rPr>
              <w:t>Art. 13</w:t>
            </w:r>
          </w:p>
          <w:p w:rsidR="00350A06" w:rsidRDefault="00350A06" w:rsidP="00350A06">
            <w:pPr>
              <w:numPr>
                <w:ilvl w:val="12"/>
                <w:numId w:val="0"/>
              </w:numPr>
              <w:rPr>
                <w:lang w:val="fr-CH"/>
              </w:rPr>
            </w:pPr>
            <w:r>
              <w:rPr>
                <w:vertAlign w:val="superscript"/>
                <w:lang w:val="fr-CH"/>
              </w:rPr>
              <w:t>1</w:t>
            </w:r>
            <w:r>
              <w:rPr>
                <w:lang w:val="fr-CH"/>
              </w:rPr>
              <w:t xml:space="preserve"> La commission peut délibérer valablement si plus de la moitié de ses membres sont présents.</w:t>
            </w: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p>
        </w:tc>
        <w:tc>
          <w:tcPr>
            <w:tcW w:w="7439" w:type="dxa"/>
            <w:gridSpan w:val="2"/>
            <w:tcBorders>
              <w:top w:val="nil"/>
              <w:left w:val="nil"/>
              <w:bottom w:val="nil"/>
              <w:right w:val="nil"/>
            </w:tcBorders>
          </w:tcPr>
          <w:p w:rsidR="00350A06" w:rsidRDefault="00350A06" w:rsidP="00350A06">
            <w:pPr>
              <w:numPr>
                <w:ilvl w:val="12"/>
                <w:numId w:val="0"/>
              </w:num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p>
        </w:tc>
        <w:tc>
          <w:tcPr>
            <w:tcW w:w="7439" w:type="dxa"/>
            <w:gridSpan w:val="2"/>
            <w:tcBorders>
              <w:top w:val="nil"/>
              <w:left w:val="nil"/>
              <w:bottom w:val="nil"/>
              <w:right w:val="nil"/>
            </w:tcBorders>
          </w:tcPr>
          <w:p w:rsidR="00350A06" w:rsidRDefault="00350A06" w:rsidP="00350A06">
            <w:pPr>
              <w:numPr>
                <w:ilvl w:val="12"/>
                <w:numId w:val="0"/>
              </w:numPr>
              <w:rPr>
                <w:lang w:val="fr-CH"/>
              </w:rPr>
            </w:pPr>
            <w:r>
              <w:rPr>
                <w:vertAlign w:val="superscript"/>
                <w:lang w:val="fr-CH"/>
              </w:rPr>
              <w:t>2</w:t>
            </w:r>
            <w:r>
              <w:rPr>
                <w:lang w:val="fr-CH"/>
              </w:rPr>
              <w:t xml:space="preserve"> Elle prend ses décisions à la majorité simple des membres présents.</w:t>
            </w: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p>
        </w:tc>
        <w:tc>
          <w:tcPr>
            <w:tcW w:w="7439" w:type="dxa"/>
            <w:gridSpan w:val="2"/>
            <w:tcBorders>
              <w:top w:val="nil"/>
              <w:left w:val="nil"/>
              <w:bottom w:val="nil"/>
              <w:right w:val="nil"/>
            </w:tcBorders>
          </w:tcPr>
          <w:p w:rsidR="00350A06" w:rsidRDefault="00350A06" w:rsidP="00350A06">
            <w:pPr>
              <w:numPr>
                <w:ilvl w:val="12"/>
                <w:numId w:val="0"/>
              </w:num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p>
        </w:tc>
        <w:tc>
          <w:tcPr>
            <w:tcW w:w="7439" w:type="dxa"/>
            <w:gridSpan w:val="2"/>
            <w:tcBorders>
              <w:top w:val="nil"/>
              <w:left w:val="nil"/>
              <w:bottom w:val="nil"/>
              <w:right w:val="nil"/>
            </w:tcBorders>
          </w:tcPr>
          <w:p w:rsidR="00350A06" w:rsidRDefault="00350A06" w:rsidP="00350A06">
            <w:pPr>
              <w:numPr>
                <w:ilvl w:val="12"/>
                <w:numId w:val="0"/>
              </w:numPr>
              <w:rPr>
                <w:lang w:val="fr-CH"/>
              </w:rPr>
            </w:pPr>
            <w:r>
              <w:rPr>
                <w:vertAlign w:val="superscript"/>
                <w:lang w:val="fr-CH"/>
              </w:rPr>
              <w:t>3</w:t>
            </w:r>
            <w:r>
              <w:rPr>
                <w:lang w:val="fr-CH"/>
              </w:rPr>
              <w:t xml:space="preserve"> Pour prendre des décisions qui concernent l'offre de prestations de l'aide sociale institutionnelle, l'accord de deux tiers des communes concernées est nécessaire.</w:t>
            </w: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p>
        </w:tc>
        <w:tc>
          <w:tcPr>
            <w:tcW w:w="7439" w:type="dxa"/>
            <w:gridSpan w:val="2"/>
            <w:tcBorders>
              <w:top w:val="nil"/>
              <w:left w:val="nil"/>
              <w:bottom w:val="nil"/>
              <w:right w:val="nil"/>
            </w:tcBorders>
          </w:tcPr>
          <w:p w:rsidR="00350A06" w:rsidRDefault="00350A06" w:rsidP="00350A06">
            <w:pPr>
              <w:numPr>
                <w:ilvl w:val="12"/>
                <w:numId w:val="0"/>
              </w:num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p>
        </w:tc>
        <w:tc>
          <w:tcPr>
            <w:tcW w:w="7439" w:type="dxa"/>
            <w:gridSpan w:val="2"/>
            <w:tcBorders>
              <w:top w:val="nil"/>
              <w:left w:val="nil"/>
              <w:bottom w:val="nil"/>
              <w:right w:val="nil"/>
            </w:tcBorders>
          </w:tcPr>
          <w:p w:rsidR="00350A06" w:rsidRDefault="00350A06" w:rsidP="00350A06">
            <w:pPr>
              <w:numPr>
                <w:ilvl w:val="12"/>
                <w:numId w:val="0"/>
              </w:numPr>
              <w:rPr>
                <w:lang w:val="fr-CH"/>
              </w:rPr>
            </w:pPr>
            <w:r>
              <w:rPr>
                <w:vertAlign w:val="superscript"/>
                <w:lang w:val="fr-CH"/>
              </w:rPr>
              <w:t>4</w:t>
            </w:r>
            <w:r>
              <w:rPr>
                <w:lang w:val="fr-CH"/>
              </w:rPr>
              <w:t xml:space="preserve"> En cas d'égalité des voix, celle du président ou de la présidente est prépondérante.</w:t>
            </w: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p>
        </w:tc>
        <w:tc>
          <w:tcPr>
            <w:tcW w:w="7439" w:type="dxa"/>
            <w:gridSpan w:val="2"/>
            <w:tcBorders>
              <w:top w:val="nil"/>
              <w:left w:val="nil"/>
              <w:bottom w:val="nil"/>
              <w:right w:val="nil"/>
            </w:tcBorders>
          </w:tcPr>
          <w:p w:rsidR="00350A06" w:rsidRDefault="00350A06" w:rsidP="00350A06">
            <w:pPr>
              <w:numPr>
                <w:ilvl w:val="12"/>
                <w:numId w:val="0"/>
              </w:num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r>
              <w:rPr>
                <w:sz w:val="20"/>
                <w:lang w:val="fr-CH"/>
              </w:rPr>
              <w:t>Droit de consulter les dossiers</w:t>
            </w:r>
          </w:p>
        </w:tc>
        <w:tc>
          <w:tcPr>
            <w:tcW w:w="7439" w:type="dxa"/>
            <w:gridSpan w:val="2"/>
            <w:tcBorders>
              <w:top w:val="nil"/>
              <w:left w:val="nil"/>
              <w:bottom w:val="nil"/>
              <w:right w:val="nil"/>
            </w:tcBorders>
          </w:tcPr>
          <w:p w:rsidR="00350A06" w:rsidRDefault="00350A06" w:rsidP="00350A06">
            <w:pPr>
              <w:numPr>
                <w:ilvl w:val="12"/>
                <w:numId w:val="0"/>
              </w:numPr>
              <w:rPr>
                <w:lang w:val="fr-CH"/>
              </w:rPr>
            </w:pPr>
            <w:r>
              <w:rPr>
                <w:lang w:val="fr-CH"/>
              </w:rPr>
              <w:t>Art. 14</w:t>
            </w:r>
          </w:p>
          <w:p w:rsidR="00350A06" w:rsidRDefault="00350A06" w:rsidP="00350A06">
            <w:pPr>
              <w:numPr>
                <w:ilvl w:val="12"/>
                <w:numId w:val="0"/>
              </w:numPr>
              <w:rPr>
                <w:lang w:val="fr-CH"/>
              </w:rPr>
            </w:pPr>
            <w:r>
              <w:rPr>
                <w:lang w:val="fr-CH"/>
              </w:rPr>
              <w:t>En tant qu'organe de surveillance du service social régional, la commission a le droit de demander, sur la base d'un vote majoritaire, de pouvoir consulter tous les dossiers de cette institution dans le respect des dispositions cantonales.</w:t>
            </w: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p>
        </w:tc>
        <w:tc>
          <w:tcPr>
            <w:tcW w:w="7439" w:type="dxa"/>
            <w:gridSpan w:val="2"/>
            <w:tcBorders>
              <w:top w:val="nil"/>
              <w:left w:val="nil"/>
              <w:bottom w:val="nil"/>
              <w:right w:val="nil"/>
            </w:tcBorders>
          </w:tcPr>
          <w:p w:rsidR="00350A06" w:rsidRDefault="00350A06" w:rsidP="00350A06">
            <w:pPr>
              <w:numPr>
                <w:ilvl w:val="12"/>
                <w:numId w:val="0"/>
              </w:numPr>
              <w:rPr>
                <w:lang w:val="fr-CH"/>
              </w:rPr>
            </w:pPr>
          </w:p>
          <w:p w:rsidR="00350A06" w:rsidRDefault="00350A06" w:rsidP="00350A06">
            <w:pPr>
              <w:numPr>
                <w:ilvl w:val="12"/>
                <w:numId w:val="0"/>
              </w:numPr>
              <w:rPr>
                <w:lang w:val="fr-CH"/>
              </w:rPr>
            </w:pPr>
          </w:p>
        </w:tc>
      </w:tr>
      <w:tr w:rsidR="00350A06">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p>
        </w:tc>
        <w:tc>
          <w:tcPr>
            <w:tcW w:w="7439" w:type="dxa"/>
            <w:gridSpan w:val="2"/>
            <w:tcBorders>
              <w:top w:val="nil"/>
              <w:left w:val="nil"/>
              <w:bottom w:val="nil"/>
              <w:right w:val="nil"/>
            </w:tcBorders>
          </w:tcPr>
          <w:p w:rsidR="00350A06" w:rsidRDefault="00350A06" w:rsidP="00350A06">
            <w:pPr>
              <w:numPr>
                <w:ilvl w:val="12"/>
                <w:numId w:val="0"/>
              </w:numPr>
              <w:rPr>
                <w:b/>
                <w:lang w:val="fr-CH"/>
              </w:rPr>
            </w:pPr>
            <w:r>
              <w:rPr>
                <w:b/>
                <w:lang w:val="fr-CH"/>
              </w:rPr>
              <w:t>Service social régional</w:t>
            </w:r>
          </w:p>
        </w:tc>
      </w:tr>
      <w:tr w:rsidR="00350A06">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p>
        </w:tc>
        <w:tc>
          <w:tcPr>
            <w:tcW w:w="7439" w:type="dxa"/>
            <w:gridSpan w:val="2"/>
            <w:tcBorders>
              <w:top w:val="nil"/>
              <w:left w:val="nil"/>
              <w:bottom w:val="nil"/>
              <w:right w:val="nil"/>
            </w:tcBorders>
          </w:tcPr>
          <w:p w:rsidR="00350A06" w:rsidRDefault="00350A06" w:rsidP="00350A06">
            <w:pPr>
              <w:numPr>
                <w:ilvl w:val="12"/>
                <w:numId w:val="0"/>
              </w:num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r>
              <w:rPr>
                <w:sz w:val="20"/>
                <w:lang w:val="fr-CH"/>
              </w:rPr>
              <w:t>Tâches</w:t>
            </w:r>
          </w:p>
        </w:tc>
        <w:tc>
          <w:tcPr>
            <w:tcW w:w="7439" w:type="dxa"/>
            <w:gridSpan w:val="2"/>
            <w:tcBorders>
              <w:top w:val="nil"/>
              <w:left w:val="nil"/>
              <w:bottom w:val="nil"/>
              <w:right w:val="nil"/>
            </w:tcBorders>
          </w:tcPr>
          <w:p w:rsidR="00350A06" w:rsidRDefault="00350A06" w:rsidP="00350A06">
            <w:pPr>
              <w:numPr>
                <w:ilvl w:val="12"/>
                <w:numId w:val="0"/>
              </w:numPr>
              <w:rPr>
                <w:lang w:val="fr-CH"/>
              </w:rPr>
            </w:pPr>
            <w:r>
              <w:rPr>
                <w:lang w:val="fr-CH"/>
              </w:rPr>
              <w:t>Art. 15</w:t>
            </w:r>
          </w:p>
          <w:p w:rsidR="00350A06" w:rsidRDefault="00350A06" w:rsidP="00350A06">
            <w:pPr>
              <w:pStyle w:val="Kopfzeile"/>
              <w:numPr>
                <w:ilvl w:val="12"/>
                <w:numId w:val="0"/>
              </w:numPr>
              <w:tabs>
                <w:tab w:val="clear" w:pos="4536"/>
                <w:tab w:val="clear" w:pos="9072"/>
              </w:tabs>
              <w:rPr>
                <w:lang w:val="fr-CH"/>
              </w:rPr>
            </w:pPr>
            <w:r>
              <w:rPr>
                <w:lang w:val="fr-CH"/>
              </w:rPr>
              <w:t>Le service social régional exécute, pour toutes les communes parties au contrat, les tâches qui lui ont été confiées en vertu de la législation cantonale.</w:t>
            </w: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p>
        </w:tc>
        <w:tc>
          <w:tcPr>
            <w:tcW w:w="7439" w:type="dxa"/>
            <w:gridSpan w:val="2"/>
            <w:tcBorders>
              <w:top w:val="nil"/>
              <w:left w:val="nil"/>
              <w:bottom w:val="nil"/>
              <w:right w:val="nil"/>
            </w:tcBorders>
          </w:tcPr>
          <w:p w:rsidR="00350A06" w:rsidRDefault="00350A06" w:rsidP="00350A06">
            <w:pPr>
              <w:numPr>
                <w:ilvl w:val="12"/>
                <w:numId w:val="0"/>
              </w:num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rsidP="00350A06">
            <w:pPr>
              <w:numPr>
                <w:ilvl w:val="12"/>
                <w:numId w:val="0"/>
              </w:numPr>
              <w:rPr>
                <w:sz w:val="20"/>
                <w:lang w:val="fr-CH"/>
              </w:rPr>
            </w:pPr>
            <w:r>
              <w:rPr>
                <w:sz w:val="20"/>
                <w:lang w:val="fr-CH"/>
              </w:rPr>
              <w:t>Rapport hiérarchique</w:t>
            </w:r>
          </w:p>
        </w:tc>
        <w:tc>
          <w:tcPr>
            <w:tcW w:w="7439" w:type="dxa"/>
            <w:gridSpan w:val="2"/>
            <w:tcBorders>
              <w:top w:val="nil"/>
              <w:left w:val="nil"/>
              <w:bottom w:val="nil"/>
              <w:right w:val="nil"/>
            </w:tcBorders>
          </w:tcPr>
          <w:p w:rsidR="00350A06" w:rsidRDefault="00350A06" w:rsidP="00350A06">
            <w:pPr>
              <w:numPr>
                <w:ilvl w:val="12"/>
                <w:numId w:val="0"/>
              </w:numPr>
              <w:rPr>
                <w:lang w:val="fr-CH"/>
              </w:rPr>
            </w:pPr>
            <w:r>
              <w:rPr>
                <w:lang w:val="fr-CH"/>
              </w:rPr>
              <w:t>Art. 16</w:t>
            </w:r>
          </w:p>
          <w:p w:rsidR="00350A06" w:rsidRDefault="00350A06" w:rsidP="00350A06">
            <w:pPr>
              <w:numPr>
                <w:ilvl w:val="12"/>
                <w:numId w:val="0"/>
              </w:numPr>
              <w:rPr>
                <w:lang w:val="fr-CH"/>
              </w:rPr>
            </w:pPr>
            <w:r>
              <w:rPr>
                <w:vertAlign w:val="superscript"/>
                <w:lang w:val="fr-CH"/>
              </w:rPr>
              <w:t>1</w:t>
            </w:r>
            <w:r>
              <w:rPr>
                <w:lang w:val="fr-CH"/>
              </w:rPr>
              <w:t xml:space="preserve"> Le personnel du service social régional est subordonné</w:t>
            </w:r>
          </w:p>
          <w:p w:rsidR="00350A06" w:rsidRDefault="00350A06" w:rsidP="00350A06">
            <w:pPr>
              <w:numPr>
                <w:ilvl w:val="0"/>
                <w:numId w:val="3"/>
              </w:numPr>
              <w:rPr>
                <w:lang w:val="fr-CH"/>
              </w:rPr>
            </w:pPr>
            <w:proofErr w:type="gramStart"/>
            <w:r>
              <w:rPr>
                <w:lang w:val="fr-CH"/>
              </w:rPr>
              <w:t>en</w:t>
            </w:r>
            <w:proofErr w:type="gramEnd"/>
            <w:r>
              <w:rPr>
                <w:lang w:val="fr-CH"/>
              </w:rPr>
              <w:t xml:space="preserve"> ce qui concerne les tâches selon les articles 1 et 2, à la commission,</w:t>
            </w:r>
          </w:p>
          <w:p w:rsidR="00350A06" w:rsidRDefault="00350A06" w:rsidP="00350A06">
            <w:pPr>
              <w:numPr>
                <w:ilvl w:val="0"/>
                <w:numId w:val="3"/>
              </w:numPr>
              <w:rPr>
                <w:lang w:val="fr-CH"/>
              </w:rPr>
            </w:pPr>
            <w:r>
              <w:rPr>
                <w:lang w:val="fr-CH"/>
              </w:rPr>
              <w:lastRenderedPageBreak/>
              <w:t>du point de vue administratif, à l'organe compétent de la commune-siège.</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vertAlign w:val="superscript"/>
                <w:lang w:val="fr-CH"/>
              </w:rPr>
              <w:t>2</w:t>
            </w:r>
            <w:r>
              <w:rPr>
                <w:lang w:val="fr-CH"/>
              </w:rPr>
              <w:t xml:space="preserve"> Le service social régional respecte les consignes de la commission de l'autorité sociale régionale et répond devant cette dernière de ses activités et de son engagement.</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Engagement</w:t>
            </w:r>
          </w:p>
        </w:tc>
        <w:tc>
          <w:tcPr>
            <w:tcW w:w="7439" w:type="dxa"/>
            <w:gridSpan w:val="2"/>
            <w:tcBorders>
              <w:top w:val="nil"/>
              <w:left w:val="nil"/>
              <w:bottom w:val="nil"/>
              <w:right w:val="nil"/>
            </w:tcBorders>
          </w:tcPr>
          <w:p w:rsidR="00350A06" w:rsidRDefault="00350A06">
            <w:pPr>
              <w:rPr>
                <w:lang w:val="fr-CH"/>
              </w:rPr>
            </w:pPr>
            <w:r>
              <w:rPr>
                <w:lang w:val="fr-CH"/>
              </w:rPr>
              <w:t>Art. 17</w:t>
            </w:r>
          </w:p>
          <w:p w:rsidR="00350A06" w:rsidRDefault="00350A06">
            <w:pPr>
              <w:rPr>
                <w:lang w:val="fr-CH"/>
              </w:rPr>
            </w:pPr>
            <w:r>
              <w:rPr>
                <w:lang w:val="fr-CH"/>
              </w:rPr>
              <w:t>Le personnel du service social est engagé et indemnisé en vertu des dispositions de la commune-siège.</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lang w:val="fr-CH"/>
              </w:rPr>
              <w:t>DUREE DU CONTRAT / RESILIATION / ADAPTATION DU CONTRAT VOIES DE DROIT</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Résiliation</w:t>
            </w:r>
          </w:p>
        </w:tc>
        <w:tc>
          <w:tcPr>
            <w:tcW w:w="7439" w:type="dxa"/>
            <w:gridSpan w:val="2"/>
            <w:tcBorders>
              <w:top w:val="nil"/>
              <w:left w:val="nil"/>
              <w:bottom w:val="nil"/>
              <w:right w:val="nil"/>
            </w:tcBorders>
          </w:tcPr>
          <w:p w:rsidR="00350A06" w:rsidRDefault="00350A06">
            <w:pPr>
              <w:rPr>
                <w:lang w:val="fr-CH"/>
              </w:rPr>
            </w:pPr>
            <w:r>
              <w:rPr>
                <w:lang w:val="fr-CH"/>
              </w:rPr>
              <w:t>Art. 18</w:t>
            </w:r>
          </w:p>
          <w:p w:rsidR="00350A06" w:rsidRDefault="00350A06">
            <w:pPr>
              <w:rPr>
                <w:lang w:val="fr-CH"/>
              </w:rPr>
            </w:pPr>
            <w:r>
              <w:rPr>
                <w:vertAlign w:val="superscript"/>
                <w:lang w:val="fr-CH"/>
              </w:rPr>
              <w:t>1</w:t>
            </w:r>
            <w:r>
              <w:rPr>
                <w:lang w:val="fr-CH"/>
              </w:rPr>
              <w:t xml:space="preserve"> Le présent contrat est signé pour une durée indéterminée.</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vertAlign w:val="superscript"/>
                <w:lang w:val="fr-CH"/>
              </w:rPr>
              <w:t>2</w:t>
            </w:r>
            <w:r>
              <w:rPr>
                <w:lang w:val="fr-CH"/>
              </w:rPr>
              <w:t xml:space="preserve"> Chaque partie peut résilier le contrat pour la fin de l'année civile, moyennant un préavis de six mois.</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vertAlign w:val="superscript"/>
                <w:lang w:val="fr-CH"/>
              </w:rPr>
              <w:t>3</w:t>
            </w:r>
            <w:r>
              <w:rPr>
                <w:lang w:val="fr-CH"/>
              </w:rPr>
              <w:t xml:space="preserve"> La commune-siège informe sans tarder les communes affiliées des démissions.</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Voies de droit</w:t>
            </w:r>
          </w:p>
        </w:tc>
        <w:tc>
          <w:tcPr>
            <w:tcW w:w="7439" w:type="dxa"/>
            <w:gridSpan w:val="2"/>
            <w:tcBorders>
              <w:top w:val="nil"/>
              <w:left w:val="nil"/>
              <w:bottom w:val="nil"/>
              <w:right w:val="nil"/>
            </w:tcBorders>
          </w:tcPr>
          <w:p w:rsidR="00350A06" w:rsidRDefault="00350A06">
            <w:pPr>
              <w:rPr>
                <w:lang w:val="fr-CH"/>
              </w:rPr>
            </w:pPr>
            <w:r>
              <w:rPr>
                <w:lang w:val="fr-CH"/>
              </w:rPr>
              <w:t>Art. 19</w:t>
            </w:r>
          </w:p>
          <w:p w:rsidR="00350A06" w:rsidRDefault="00350A06">
            <w:pPr>
              <w:rPr>
                <w:lang w:val="fr-CH"/>
              </w:rPr>
            </w:pPr>
            <w:r>
              <w:rPr>
                <w:lang w:val="fr-CH"/>
              </w:rPr>
              <w:t>Si des différends portant sur le présent contrat entre la commune-siège et une commune affiliée ne peuvent être réglés à l'amiable, la procédure est réglée par la loi sur la procédure et la juridiction administratives (LPJA).</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r>
              <w:rPr>
                <w:lang w:val="fr-CH"/>
              </w:rPr>
              <w:t>REGLEMENTATION TRANSITOIRE / DISPOSITIONS FINALES</w:t>
            </w:r>
          </w:p>
        </w:tc>
      </w:tr>
      <w:tr w:rsidR="00350A06">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Offres existantes de l'aide sociale institutionnelle</w:t>
            </w:r>
          </w:p>
        </w:tc>
        <w:tc>
          <w:tcPr>
            <w:tcW w:w="7439" w:type="dxa"/>
            <w:gridSpan w:val="2"/>
            <w:tcBorders>
              <w:top w:val="nil"/>
              <w:left w:val="nil"/>
              <w:bottom w:val="nil"/>
              <w:right w:val="nil"/>
            </w:tcBorders>
          </w:tcPr>
          <w:p w:rsidR="00350A06" w:rsidRDefault="00350A06">
            <w:pPr>
              <w:rPr>
                <w:lang w:val="fr-CH"/>
              </w:rPr>
            </w:pPr>
            <w:r>
              <w:rPr>
                <w:lang w:val="fr-CH"/>
              </w:rPr>
              <w:t>Art. 20</w:t>
            </w:r>
          </w:p>
          <w:p w:rsidR="00350A06" w:rsidRDefault="00350A06">
            <w:pPr>
              <w:rPr>
                <w:lang w:val="fr-CH"/>
              </w:rPr>
            </w:pPr>
            <w:r>
              <w:rPr>
                <w:lang w:val="fr-CH"/>
              </w:rPr>
              <w:t>À moins d'une décision contraire de tous les partenaires contractuels, toutes les offres existantes dans le domaine institutionnel restent jusqu'à la fin 2004 de la compétence de chaque commune.</w:t>
            </w:r>
          </w:p>
        </w:tc>
      </w:tr>
      <w:tr w:rsidR="00350A06" w:rsidRPr="003A57EA">
        <w:trPr>
          <w:gridAfter w:val="2"/>
          <w:wAfter w:w="7439" w:type="dxa"/>
          <w:trHeight w:val="133"/>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Adaptation des règlements</w:t>
            </w:r>
          </w:p>
        </w:tc>
        <w:tc>
          <w:tcPr>
            <w:tcW w:w="7439" w:type="dxa"/>
            <w:gridSpan w:val="2"/>
            <w:tcBorders>
              <w:top w:val="nil"/>
              <w:left w:val="nil"/>
              <w:bottom w:val="nil"/>
              <w:right w:val="nil"/>
            </w:tcBorders>
          </w:tcPr>
          <w:p w:rsidR="00350A06" w:rsidRDefault="00350A06">
            <w:pPr>
              <w:rPr>
                <w:lang w:val="fr-CH"/>
              </w:rPr>
            </w:pPr>
            <w:r>
              <w:rPr>
                <w:lang w:val="fr-CH"/>
              </w:rPr>
              <w:t>Art. 21</w:t>
            </w:r>
          </w:p>
          <w:p w:rsidR="00350A06" w:rsidRDefault="00350A06">
            <w:pPr>
              <w:rPr>
                <w:lang w:val="fr-CH"/>
              </w:rPr>
            </w:pPr>
            <w:r>
              <w:rPr>
                <w:lang w:val="fr-CH"/>
              </w:rPr>
              <w:t>Les communes parties au contrat soumettent les règlements nécessaires ou leurs modifications à l'approbation du corps électoral.</w:t>
            </w: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p>
        </w:tc>
        <w:tc>
          <w:tcPr>
            <w:tcW w:w="7439" w:type="dxa"/>
            <w:gridSpan w:val="2"/>
            <w:tcBorders>
              <w:top w:val="nil"/>
              <w:left w:val="nil"/>
              <w:bottom w:val="nil"/>
              <w:right w:val="nil"/>
            </w:tcBorders>
          </w:tcPr>
          <w:p w:rsidR="00350A06" w:rsidRDefault="00350A06">
            <w:pPr>
              <w:rPr>
                <w:lang w:val="fr-CH"/>
              </w:rPr>
            </w:pPr>
          </w:p>
        </w:tc>
      </w:tr>
      <w:tr w:rsidR="00350A06" w:rsidRPr="003A57EA">
        <w:trPr>
          <w:gridAfter w:val="2"/>
          <w:wAfter w:w="7439" w:type="dxa"/>
        </w:trPr>
        <w:tc>
          <w:tcPr>
            <w:tcW w:w="1771" w:type="dxa"/>
            <w:tcBorders>
              <w:top w:val="nil"/>
              <w:left w:val="nil"/>
              <w:bottom w:val="nil"/>
              <w:right w:val="nil"/>
            </w:tcBorders>
          </w:tcPr>
          <w:p w:rsidR="00350A06" w:rsidRDefault="00350A06">
            <w:pPr>
              <w:rPr>
                <w:sz w:val="20"/>
                <w:lang w:val="fr-CH"/>
              </w:rPr>
            </w:pPr>
            <w:r>
              <w:rPr>
                <w:sz w:val="20"/>
                <w:lang w:val="fr-CH"/>
              </w:rPr>
              <w:t xml:space="preserve">Entrée en vigueur </w:t>
            </w:r>
          </w:p>
        </w:tc>
        <w:tc>
          <w:tcPr>
            <w:tcW w:w="7439" w:type="dxa"/>
            <w:gridSpan w:val="2"/>
            <w:tcBorders>
              <w:top w:val="nil"/>
              <w:left w:val="nil"/>
              <w:bottom w:val="nil"/>
              <w:right w:val="nil"/>
            </w:tcBorders>
          </w:tcPr>
          <w:p w:rsidR="00350A06" w:rsidRDefault="00350A06">
            <w:pPr>
              <w:rPr>
                <w:lang w:val="fr-CH"/>
              </w:rPr>
            </w:pPr>
            <w:r>
              <w:rPr>
                <w:lang w:val="fr-CH"/>
              </w:rPr>
              <w:t>Art. 22</w:t>
            </w:r>
          </w:p>
          <w:p w:rsidR="00350A06" w:rsidRDefault="00350A06">
            <w:pPr>
              <w:rPr>
                <w:lang w:val="fr-CH"/>
              </w:rPr>
            </w:pPr>
            <w:r>
              <w:rPr>
                <w:lang w:val="fr-CH"/>
              </w:rPr>
              <w:t>Le présent contrat entre en vigueur, après avoir été signé par les conseils communaux et soumis à l'approbation du corps électoral selon l'article 21, le 1</w:t>
            </w:r>
            <w:r>
              <w:rPr>
                <w:vertAlign w:val="superscript"/>
                <w:lang w:val="fr-CH"/>
              </w:rPr>
              <w:t>er</w:t>
            </w:r>
            <w:r>
              <w:rPr>
                <w:lang w:val="fr-CH"/>
              </w:rPr>
              <w:t xml:space="preserve"> janvier 2002.</w:t>
            </w:r>
          </w:p>
        </w:tc>
      </w:tr>
      <w:tr w:rsidR="00350A06" w:rsidRPr="003A57EA">
        <w:trPr>
          <w:gridAfter w:val="2"/>
          <w:wAfter w:w="7439" w:type="dxa"/>
        </w:trPr>
        <w:tc>
          <w:tcPr>
            <w:tcW w:w="1771" w:type="dxa"/>
            <w:tcBorders>
              <w:top w:val="nil"/>
              <w:left w:val="nil"/>
              <w:bottom w:val="nil"/>
              <w:right w:val="nil"/>
            </w:tcBorders>
          </w:tcPr>
          <w:p w:rsidR="00350A06" w:rsidRDefault="00350A06">
            <w:pPr>
              <w:pStyle w:val="Marginale"/>
              <w:rPr>
                <w:lang w:val="fr-CH"/>
              </w:rPr>
            </w:pPr>
          </w:p>
        </w:tc>
        <w:tc>
          <w:tcPr>
            <w:tcW w:w="7439" w:type="dxa"/>
            <w:gridSpan w:val="2"/>
            <w:tcBorders>
              <w:top w:val="nil"/>
              <w:left w:val="nil"/>
              <w:bottom w:val="nil"/>
              <w:right w:val="nil"/>
            </w:tcBorders>
          </w:tcPr>
          <w:p w:rsidR="00350A06" w:rsidRDefault="00350A06">
            <w:pPr>
              <w:ind w:left="73"/>
              <w:rPr>
                <w:lang w:val="fr-CH"/>
              </w:rPr>
            </w:pPr>
          </w:p>
        </w:tc>
      </w:tr>
      <w:tr w:rsidR="00350A06" w:rsidRPr="003A57EA">
        <w:trPr>
          <w:gridAfter w:val="1"/>
          <w:wAfter w:w="6985" w:type="dxa"/>
        </w:trPr>
        <w:tc>
          <w:tcPr>
            <w:tcW w:w="2338" w:type="dxa"/>
            <w:gridSpan w:val="2"/>
            <w:tcBorders>
              <w:top w:val="nil"/>
              <w:left w:val="nil"/>
              <w:bottom w:val="nil"/>
              <w:right w:val="nil"/>
            </w:tcBorders>
          </w:tcPr>
          <w:p w:rsidR="00350A06" w:rsidRDefault="00350A06">
            <w:pPr>
              <w:pStyle w:val="Marginale"/>
              <w:rPr>
                <w:lang w:val="fr-CH"/>
              </w:rPr>
            </w:pPr>
          </w:p>
        </w:tc>
        <w:tc>
          <w:tcPr>
            <w:tcW w:w="7326" w:type="dxa"/>
            <w:gridSpan w:val="2"/>
            <w:tcBorders>
              <w:top w:val="nil"/>
              <w:left w:val="nil"/>
              <w:bottom w:val="nil"/>
              <w:right w:val="nil"/>
            </w:tcBorders>
          </w:tcPr>
          <w:p w:rsidR="00350A06" w:rsidRDefault="00350A06">
            <w:pPr>
              <w:rPr>
                <w:lang w:val="fr-CH"/>
              </w:rPr>
            </w:pPr>
          </w:p>
        </w:tc>
      </w:tr>
    </w:tbl>
    <w:p w:rsidR="00350A06" w:rsidRDefault="00350A06">
      <w:pPr>
        <w:rPr>
          <w:lang w:val="fr-CH"/>
        </w:rPr>
      </w:pPr>
    </w:p>
    <w:p w:rsidR="00350A06" w:rsidRDefault="00350A06">
      <w:pPr>
        <w:rPr>
          <w:lang w:val="fr-CH"/>
        </w:rPr>
      </w:pPr>
      <w:r>
        <w:rPr>
          <w:lang w:val="fr-CH"/>
        </w:rPr>
        <w:t>Pour la commune-siège:</w:t>
      </w:r>
      <w:r>
        <w:rPr>
          <w:lang w:val="fr-CH"/>
        </w:rPr>
        <w:tab/>
      </w:r>
      <w:r>
        <w:rPr>
          <w:lang w:val="fr-CH"/>
        </w:rPr>
        <w:tab/>
      </w:r>
      <w:r>
        <w:rPr>
          <w:lang w:val="fr-CH"/>
        </w:rPr>
        <w:tab/>
        <w:t>Frutigen</w:t>
      </w:r>
    </w:p>
    <w:p w:rsidR="00350A06" w:rsidRDefault="00350A06">
      <w:pPr>
        <w:rPr>
          <w:lang w:val="fr-CH"/>
        </w:rPr>
      </w:pPr>
    </w:p>
    <w:p w:rsidR="00350A06" w:rsidRDefault="00350A06">
      <w:pPr>
        <w:tabs>
          <w:tab w:val="left" w:pos="4253"/>
        </w:tabs>
        <w:rPr>
          <w:lang w:val="fr-CH"/>
        </w:rPr>
      </w:pPr>
      <w:r>
        <w:rPr>
          <w:lang w:val="fr-CH"/>
        </w:rPr>
        <w:t>Pour les communes affiliées:</w:t>
      </w:r>
      <w:r>
        <w:rPr>
          <w:lang w:val="fr-CH"/>
        </w:rPr>
        <w:tab/>
        <w:t>Adelboden</w:t>
      </w:r>
    </w:p>
    <w:p w:rsidR="00350A06" w:rsidRDefault="00350A06">
      <w:pPr>
        <w:tabs>
          <w:tab w:val="left" w:pos="4253"/>
        </w:tabs>
        <w:rPr>
          <w:lang w:val="fr-CH"/>
        </w:rPr>
      </w:pPr>
    </w:p>
    <w:p w:rsidR="00350A06" w:rsidRPr="006829DB" w:rsidRDefault="00350A06">
      <w:pPr>
        <w:tabs>
          <w:tab w:val="left" w:pos="4253"/>
        </w:tabs>
      </w:pPr>
      <w:r>
        <w:rPr>
          <w:lang w:val="fr-CH"/>
        </w:rPr>
        <w:tab/>
      </w:r>
      <w:proofErr w:type="spellStart"/>
      <w:r w:rsidRPr="006829DB">
        <w:t>Aeschi</w:t>
      </w:r>
      <w:proofErr w:type="spellEnd"/>
    </w:p>
    <w:p w:rsidR="00350A06" w:rsidRPr="006829DB" w:rsidRDefault="00350A06">
      <w:pPr>
        <w:tabs>
          <w:tab w:val="left" w:pos="4253"/>
        </w:tabs>
      </w:pPr>
    </w:p>
    <w:p w:rsidR="00350A06" w:rsidRPr="006829DB" w:rsidRDefault="00350A06">
      <w:pPr>
        <w:tabs>
          <w:tab w:val="left" w:pos="4253"/>
        </w:tabs>
      </w:pPr>
      <w:r w:rsidRPr="006829DB">
        <w:tab/>
      </w:r>
      <w:proofErr w:type="spellStart"/>
      <w:r w:rsidRPr="006829DB">
        <w:t>Kandergrund</w:t>
      </w:r>
      <w:proofErr w:type="spellEnd"/>
    </w:p>
    <w:p w:rsidR="00350A06" w:rsidRPr="006829DB" w:rsidRDefault="00350A06">
      <w:pPr>
        <w:pStyle w:val="Kopfzeile"/>
        <w:tabs>
          <w:tab w:val="clear" w:pos="4536"/>
          <w:tab w:val="clear" w:pos="9072"/>
          <w:tab w:val="left" w:pos="4253"/>
        </w:tabs>
      </w:pPr>
    </w:p>
    <w:p w:rsidR="00350A06" w:rsidRPr="006829DB" w:rsidRDefault="00350A06">
      <w:pPr>
        <w:tabs>
          <w:tab w:val="left" w:pos="4253"/>
        </w:tabs>
      </w:pPr>
      <w:r w:rsidRPr="006829DB">
        <w:tab/>
        <w:t>Kandersteg</w:t>
      </w:r>
    </w:p>
    <w:p w:rsidR="00350A06" w:rsidRPr="006829DB" w:rsidRDefault="00350A06">
      <w:pPr>
        <w:tabs>
          <w:tab w:val="left" w:pos="4253"/>
        </w:tabs>
      </w:pPr>
    </w:p>
    <w:p w:rsidR="00350A06" w:rsidRPr="006829DB" w:rsidRDefault="00350A06">
      <w:pPr>
        <w:tabs>
          <w:tab w:val="left" w:pos="4253"/>
        </w:tabs>
      </w:pPr>
      <w:r w:rsidRPr="006829DB">
        <w:tab/>
        <w:t>Krattigen</w:t>
      </w:r>
      <w:r w:rsidRPr="006829DB">
        <w:tab/>
      </w:r>
    </w:p>
    <w:p w:rsidR="00350A06" w:rsidRPr="006829DB" w:rsidRDefault="00350A06">
      <w:pPr>
        <w:tabs>
          <w:tab w:val="left" w:pos="4253"/>
        </w:tabs>
        <w:rPr>
          <w:color w:val="FF0000"/>
        </w:rPr>
      </w:pPr>
      <w:r w:rsidRPr="006829DB">
        <w:rPr>
          <w:color w:val="FF0000"/>
        </w:rPr>
        <w:br w:type="page"/>
      </w:r>
    </w:p>
    <w:p w:rsidR="00350A06" w:rsidRPr="006829DB" w:rsidRDefault="00350A06">
      <w:pPr>
        <w:tabs>
          <w:tab w:val="left" w:pos="4253"/>
        </w:tabs>
        <w:rPr>
          <w:color w:val="FF0000"/>
        </w:rPr>
      </w:pPr>
    </w:p>
    <w:p w:rsidR="00350A06" w:rsidRPr="006829DB" w:rsidRDefault="00350A06">
      <w:pPr>
        <w:tabs>
          <w:tab w:val="left" w:pos="4253"/>
        </w:tabs>
      </w:pPr>
      <w:proofErr w:type="spellStart"/>
      <w:r w:rsidRPr="006829DB">
        <w:rPr>
          <w:color w:val="FF0000"/>
        </w:rPr>
        <w:t>Qui</w:t>
      </w:r>
      <w:proofErr w:type="spellEnd"/>
      <w:r w:rsidRPr="006829DB">
        <w:rPr>
          <w:color w:val="FF0000"/>
        </w:rPr>
        <w:t xml:space="preserve"> in </w:t>
      </w:r>
      <w:proofErr w:type="spellStart"/>
      <w:r w:rsidRPr="006829DB">
        <w:rPr>
          <w:color w:val="FF0000"/>
        </w:rPr>
        <w:t>fine</w:t>
      </w:r>
      <w:proofErr w:type="spellEnd"/>
    </w:p>
    <w:p w:rsidR="00350A06" w:rsidRPr="006829DB" w:rsidRDefault="00350A06">
      <w:pPr>
        <w:tabs>
          <w:tab w:val="left" w:pos="4253"/>
        </w:tabs>
      </w:pPr>
    </w:p>
    <w:tbl>
      <w:tblPr>
        <w:tblW w:w="0" w:type="auto"/>
        <w:tblLayout w:type="fixed"/>
        <w:tblCellMar>
          <w:left w:w="70" w:type="dxa"/>
          <w:right w:w="70" w:type="dxa"/>
        </w:tblCellMar>
        <w:tblLook w:val="0000" w:firstRow="0" w:lastRow="0" w:firstColumn="0" w:lastColumn="0" w:noHBand="0" w:noVBand="0"/>
      </w:tblPr>
      <w:tblGrid>
        <w:gridCol w:w="1771"/>
        <w:gridCol w:w="567"/>
        <w:gridCol w:w="6872"/>
        <w:gridCol w:w="7439"/>
      </w:tblGrid>
      <w:tr w:rsidR="00350A06" w:rsidRPr="003A57EA">
        <w:trPr>
          <w:gridAfter w:val="1"/>
          <w:wAfter w:w="7439" w:type="dxa"/>
        </w:trPr>
        <w:tc>
          <w:tcPr>
            <w:tcW w:w="1771" w:type="dxa"/>
            <w:tcBorders>
              <w:top w:val="nil"/>
              <w:left w:val="nil"/>
              <w:bottom w:val="nil"/>
              <w:right w:val="nil"/>
            </w:tcBorders>
          </w:tcPr>
          <w:p w:rsidR="00350A06" w:rsidRDefault="00350A06">
            <w:pPr>
              <w:pStyle w:val="Marginale"/>
              <w:rPr>
                <w:lang w:val="fr-CH"/>
              </w:rPr>
            </w:pPr>
            <w:r>
              <w:rPr>
                <w:lang w:val="fr-CH"/>
              </w:rPr>
              <w:t xml:space="preserve">Entrée en vigueur </w:t>
            </w:r>
          </w:p>
        </w:tc>
        <w:tc>
          <w:tcPr>
            <w:tcW w:w="7439" w:type="dxa"/>
            <w:gridSpan w:val="2"/>
            <w:tcBorders>
              <w:top w:val="nil"/>
              <w:left w:val="nil"/>
              <w:bottom w:val="nil"/>
              <w:right w:val="nil"/>
            </w:tcBorders>
          </w:tcPr>
          <w:p w:rsidR="00350A06" w:rsidRDefault="00350A06">
            <w:pPr>
              <w:ind w:left="73"/>
              <w:rPr>
                <w:lang w:val="fr-CH"/>
              </w:rPr>
            </w:pPr>
            <w:r>
              <w:rPr>
                <w:b/>
                <w:lang w:val="fr-CH"/>
              </w:rPr>
              <w:t xml:space="preserve">Art. 9 </w:t>
            </w:r>
            <w:r>
              <w:rPr>
                <w:lang w:val="fr-CH"/>
              </w:rPr>
              <w:t>Le contrat prend effet dès son approbation par toutes les communes.</w:t>
            </w:r>
          </w:p>
        </w:tc>
      </w:tr>
      <w:tr w:rsidR="00350A06" w:rsidRPr="003A57EA">
        <w:tc>
          <w:tcPr>
            <w:tcW w:w="2338" w:type="dxa"/>
            <w:gridSpan w:val="2"/>
            <w:tcBorders>
              <w:top w:val="nil"/>
              <w:left w:val="nil"/>
              <w:bottom w:val="nil"/>
              <w:right w:val="nil"/>
            </w:tcBorders>
          </w:tcPr>
          <w:p w:rsidR="00350A06" w:rsidRDefault="00350A06">
            <w:pPr>
              <w:pStyle w:val="Marginale"/>
              <w:rPr>
                <w:lang w:val="fr-CH"/>
              </w:rPr>
            </w:pPr>
            <w:r>
              <w:rPr>
                <w:lang w:val="fr-CH"/>
              </w:rPr>
              <w:t xml:space="preserve">Entrée en vigueur </w:t>
            </w:r>
          </w:p>
        </w:tc>
        <w:tc>
          <w:tcPr>
            <w:tcW w:w="14311" w:type="dxa"/>
            <w:gridSpan w:val="2"/>
            <w:tcBorders>
              <w:top w:val="nil"/>
              <w:left w:val="nil"/>
              <w:bottom w:val="nil"/>
              <w:right w:val="nil"/>
            </w:tcBorders>
          </w:tcPr>
          <w:p w:rsidR="00350A06" w:rsidRDefault="00350A06">
            <w:pPr>
              <w:ind w:left="73"/>
              <w:rPr>
                <w:lang w:val="fr-CH"/>
              </w:rPr>
            </w:pPr>
            <w:r>
              <w:rPr>
                <w:b/>
                <w:lang w:val="fr-CH"/>
              </w:rPr>
              <w:t xml:space="preserve">Art. 9 </w:t>
            </w:r>
            <w:r>
              <w:rPr>
                <w:lang w:val="fr-CH"/>
              </w:rPr>
              <w:t>Le contrat prend effet dès son approbation par toutes les communes.</w:t>
            </w:r>
          </w:p>
        </w:tc>
      </w:tr>
    </w:tbl>
    <w:p w:rsidR="00350A06" w:rsidRDefault="00350A06">
      <w:pPr>
        <w:tabs>
          <w:tab w:val="left" w:pos="4253"/>
        </w:tabs>
        <w:rPr>
          <w:lang w:val="fr-CH"/>
        </w:rPr>
      </w:pPr>
    </w:p>
    <w:sectPr w:rsidR="00350A06">
      <w:footerReference w:type="default" r:id="rId7"/>
      <w:pgSz w:w="11907" w:h="16840" w:code="9"/>
      <w:pgMar w:top="1418" w:right="1418" w:bottom="1701" w:left="1418" w:header="720"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A06" w:rsidRDefault="00350A06">
      <w:r>
        <w:separator/>
      </w:r>
    </w:p>
  </w:endnote>
  <w:endnote w:type="continuationSeparator" w:id="0">
    <w:p w:rsidR="00350A06" w:rsidRDefault="0035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A06" w:rsidRDefault="00350A06">
    <w:pPr>
      <w:pStyle w:val="Fuzeile"/>
      <w:rPr>
        <w:sz w:val="16"/>
      </w:rPr>
    </w:pPr>
    <w:r>
      <w:rPr>
        <w:sz w:val="16"/>
      </w:rPr>
      <w:fldChar w:fldCharType="begin"/>
    </w:r>
    <w:r>
      <w:rPr>
        <w:sz w:val="16"/>
      </w:rPr>
      <w:instrText xml:space="preserve"> FILENAME \p \* MERGEFORMAT </w:instrTex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A06" w:rsidRDefault="00350A06">
      <w:r>
        <w:separator/>
      </w:r>
    </w:p>
  </w:footnote>
  <w:footnote w:type="continuationSeparator" w:id="0">
    <w:p w:rsidR="00350A06" w:rsidRDefault="00350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B922F38"/>
    <w:lvl w:ilvl="0">
      <w:numFmt w:val="bullet"/>
      <w:lvlText w:val="*"/>
      <w:lvlJc w:val="left"/>
    </w:lvl>
  </w:abstractNum>
  <w:abstractNum w:abstractNumId="1" w15:restartNumberingAfterBreak="0">
    <w:nsid w:val="170F481B"/>
    <w:multiLevelType w:val="hybridMultilevel"/>
    <w:tmpl w:val="127EEA6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 w15:restartNumberingAfterBreak="0">
    <w:nsid w:val="720D36F0"/>
    <w:multiLevelType w:val="hybridMultilevel"/>
    <w:tmpl w:val="B63C9250"/>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72493379"/>
    <w:multiLevelType w:val="hybridMultilevel"/>
    <w:tmpl w:val="EE40B3C6"/>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2"/>
        </w:rPr>
      </w:lvl>
    </w:lvlOverride>
  </w:num>
  <w:num w:numId="2">
    <w:abstractNumId w:val="0"/>
    <w:lvlOverride w:ilvl="0">
      <w:lvl w:ilvl="0">
        <w:start w:val="6"/>
        <w:numFmt w:val="bullet"/>
        <w:lvlText w:val="-"/>
        <w:legacy w:legacy="1" w:legacySpace="120" w:legacyIndent="360"/>
        <w:lvlJc w:val="left"/>
        <w:pPr>
          <w:ind w:left="720" w:hanging="360"/>
        </w:p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A06"/>
    <w:rsid w:val="00350A06"/>
    <w:rsid w:val="003A57EA"/>
    <w:rsid w:val="006829D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FE3654A-1475-44B4-8A68-36EFF268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Dokumentstruktur1">
    <w:name w:val="Dokumentstruktur1"/>
    <w:basedOn w:val="Standard"/>
    <w:pPr>
      <w:shd w:val="clear" w:color="auto" w:fill="000080"/>
    </w:pPr>
    <w:rPr>
      <w:rFonts w:ascii="Tahoma" w:hAnsi="Tahoma"/>
    </w:rPr>
  </w:style>
  <w:style w:type="paragraph" w:styleId="Index1">
    <w:name w:val="index 1"/>
    <w:basedOn w:val="Standard"/>
    <w:next w:val="Standard"/>
    <w:semiHidden/>
    <w:pPr>
      <w:ind w:left="220" w:hanging="220"/>
    </w:pPr>
  </w:style>
  <w:style w:type="paragraph" w:customStyle="1" w:styleId="Marginale">
    <w:name w:val="Marginale"/>
    <w:basedOn w:val="Standard"/>
    <w:next w:val="Standard"/>
    <w:rPr>
      <w:sz w:val="20"/>
      <w:lang w:val="fr-FR"/>
    </w:rPr>
  </w:style>
  <w:style w:type="paragraph" w:customStyle="1" w:styleId="Textkrper21">
    <w:name w:val="Textkörper 21"/>
    <w:basedOn w:val="Standard"/>
    <w:pPr>
      <w:ind w:left="214"/>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ribuna\Vorlagen%20BeO\00.000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00.0000.dot</Template>
  <TotalTime>0</TotalTime>
  <Pages>6</Pages>
  <Words>1226</Words>
  <Characters>7004</Characters>
  <Application>Microsoft Office Word</Application>
  <DocSecurity>0</DocSecurity>
  <Lines>58</Lines>
  <Paragraphs>16</Paragraphs>
  <ScaleCrop>false</ScaleCrop>
  <HeadingPairs>
    <vt:vector size="4" baseType="variant">
      <vt:variant>
        <vt:lpstr>Titel</vt:lpstr>
      </vt:variant>
      <vt:variant>
        <vt:i4>1</vt:i4>
      </vt:variant>
      <vt:variant>
        <vt:lpstr>VERTRAG </vt:lpstr>
      </vt:variant>
      <vt:variant>
        <vt:i4>0</vt:i4>
      </vt:variant>
    </vt:vector>
  </HeadingPairs>
  <TitlesOfParts>
    <vt:vector size="1" baseType="lpstr">
      <vt:lpstr>VERTRAG</vt:lpstr>
    </vt:vector>
  </TitlesOfParts>
  <Company>JGK</Company>
  <LinksUpToDate>false</LinksUpToDate>
  <CharactersWithSpaces>8214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la commune siège</dc:title>
  <dc:subject/>
  <dc:creator/>
  <cp:keywords/>
  <dc:description/>
  <cp:lastModifiedBy>Zurbuchen Kathrin, DIJ-AGR-GeM</cp:lastModifiedBy>
  <cp:revision>3</cp:revision>
  <cp:lastPrinted>2001-10-10T07:11:00Z</cp:lastPrinted>
  <dcterms:created xsi:type="dcterms:W3CDTF">2022-11-23T11:21:00Z</dcterms:created>
  <dcterms:modified xsi:type="dcterms:W3CDTF">2022-12-16T10:20:00Z</dcterms:modified>
</cp:coreProperties>
</file>