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2FB" w:rsidRPr="00BF36CC" w:rsidRDefault="008D02FB" w:rsidP="008D02FB">
      <w:pPr>
        <w:jc w:val="center"/>
        <w:rPr>
          <w:b/>
          <w:spacing w:val="24"/>
          <w:sz w:val="56"/>
          <w:szCs w:val="56"/>
        </w:rPr>
      </w:pPr>
      <w:bookmarkStart w:id="0" w:name="_GoBack"/>
      <w:bookmarkEnd w:id="0"/>
    </w:p>
    <w:p w:rsidR="008D02FB" w:rsidRPr="00BF36CC" w:rsidRDefault="008D02FB" w:rsidP="008D02FB">
      <w:pPr>
        <w:jc w:val="center"/>
        <w:rPr>
          <w:b/>
          <w:spacing w:val="24"/>
          <w:sz w:val="56"/>
          <w:szCs w:val="56"/>
        </w:rPr>
      </w:pPr>
    </w:p>
    <w:p w:rsidR="008D02FB" w:rsidRPr="00BF36CC" w:rsidRDefault="00DD2C05" w:rsidP="008D02FB">
      <w:pPr>
        <w:jc w:val="center"/>
        <w:rPr>
          <w:b/>
          <w:spacing w:val="24"/>
          <w:sz w:val="56"/>
          <w:szCs w:val="56"/>
          <w:lang w:val="fr-CH"/>
        </w:rPr>
      </w:pPr>
      <w:r w:rsidRPr="00BF36CC">
        <w:rPr>
          <w:b/>
          <w:spacing w:val="24"/>
          <w:sz w:val="56"/>
          <w:szCs w:val="56"/>
          <w:lang w:val="fr-CH"/>
        </w:rPr>
        <w:t>Rè</w:t>
      </w:r>
      <w:r w:rsidR="008D02FB" w:rsidRPr="00BF36CC">
        <w:rPr>
          <w:b/>
          <w:spacing w:val="24"/>
          <w:sz w:val="56"/>
          <w:szCs w:val="56"/>
          <w:lang w:val="fr-CH"/>
        </w:rPr>
        <w:t xml:space="preserve">glement </w:t>
      </w:r>
    </w:p>
    <w:p w:rsidR="008D02FB" w:rsidRPr="00BF36CC" w:rsidRDefault="008D02FB" w:rsidP="008D02FB">
      <w:pPr>
        <w:jc w:val="center"/>
        <w:rPr>
          <w:b/>
          <w:spacing w:val="24"/>
          <w:sz w:val="56"/>
          <w:szCs w:val="56"/>
          <w:lang w:val="fr-CH"/>
        </w:rPr>
      </w:pPr>
    </w:p>
    <w:p w:rsidR="008D02FB" w:rsidRPr="00BF36CC" w:rsidRDefault="008D02FB" w:rsidP="008D02FB">
      <w:pPr>
        <w:jc w:val="center"/>
        <w:rPr>
          <w:b/>
          <w:spacing w:val="24"/>
          <w:sz w:val="56"/>
          <w:szCs w:val="56"/>
          <w:lang w:val="fr-CH"/>
        </w:rPr>
      </w:pPr>
    </w:p>
    <w:p w:rsidR="008D02FB" w:rsidRPr="00BF36CC" w:rsidRDefault="008D02FB" w:rsidP="008D02FB">
      <w:pPr>
        <w:jc w:val="center"/>
        <w:rPr>
          <w:b/>
          <w:spacing w:val="24"/>
          <w:sz w:val="56"/>
          <w:szCs w:val="56"/>
          <w:lang w:val="fr-CH"/>
        </w:rPr>
      </w:pPr>
    </w:p>
    <w:p w:rsidR="008D02FB" w:rsidRPr="00BF36CC" w:rsidRDefault="00DD2C05" w:rsidP="008D02FB">
      <w:pPr>
        <w:jc w:val="center"/>
        <w:rPr>
          <w:b/>
          <w:spacing w:val="24"/>
          <w:sz w:val="28"/>
          <w:szCs w:val="28"/>
          <w:lang w:val="fr-CH"/>
        </w:rPr>
      </w:pPr>
      <w:r w:rsidRPr="00BF36CC">
        <w:rPr>
          <w:b/>
          <w:spacing w:val="24"/>
          <w:sz w:val="28"/>
          <w:szCs w:val="28"/>
          <w:lang w:val="fr-CH"/>
        </w:rPr>
        <w:t>concernant la</w:t>
      </w:r>
    </w:p>
    <w:p w:rsidR="008D02FB" w:rsidRPr="00BF36CC" w:rsidRDefault="00DD2C05" w:rsidP="008D02FB">
      <w:pPr>
        <w:jc w:val="center"/>
        <w:rPr>
          <w:b/>
          <w:spacing w:val="24"/>
          <w:sz w:val="56"/>
          <w:szCs w:val="56"/>
          <w:lang w:val="fr-CH"/>
        </w:rPr>
      </w:pPr>
      <w:r w:rsidRPr="00BF36CC">
        <w:rPr>
          <w:b/>
          <w:spacing w:val="24"/>
          <w:sz w:val="56"/>
          <w:szCs w:val="56"/>
          <w:lang w:val="fr-CH"/>
        </w:rPr>
        <w:t>dissolution de la réserve liée à la réévaluation</w:t>
      </w:r>
    </w:p>
    <w:p w:rsidR="008D02FB" w:rsidRPr="00BF36CC" w:rsidRDefault="008D02FB" w:rsidP="008D02FB">
      <w:pPr>
        <w:jc w:val="center"/>
        <w:rPr>
          <w:b/>
          <w:spacing w:val="24"/>
          <w:sz w:val="28"/>
          <w:szCs w:val="28"/>
          <w:lang w:val="fr-CH"/>
        </w:rPr>
      </w:pPr>
    </w:p>
    <w:p w:rsidR="008D02FB" w:rsidRPr="00BF36CC" w:rsidRDefault="008D02FB" w:rsidP="008D02FB">
      <w:pPr>
        <w:jc w:val="center"/>
        <w:rPr>
          <w:b/>
          <w:spacing w:val="24"/>
          <w:sz w:val="56"/>
          <w:szCs w:val="56"/>
          <w:lang w:val="fr-CH"/>
        </w:rPr>
      </w:pPr>
    </w:p>
    <w:p w:rsidR="008D02FB" w:rsidRPr="00BF36CC" w:rsidRDefault="008D02FB" w:rsidP="008D02FB">
      <w:pPr>
        <w:jc w:val="center"/>
        <w:rPr>
          <w:lang w:val="fr-CH"/>
        </w:rPr>
      </w:pPr>
    </w:p>
    <w:p w:rsidR="008D02FB" w:rsidRPr="00BF36CC" w:rsidRDefault="008D02FB" w:rsidP="008D02FB">
      <w:pPr>
        <w:rPr>
          <w:lang w:val="fr-CH"/>
        </w:rPr>
      </w:pPr>
    </w:p>
    <w:p w:rsidR="008D02FB" w:rsidRPr="00BF36CC" w:rsidRDefault="008D02FB" w:rsidP="008D02FB">
      <w:pPr>
        <w:rPr>
          <w:lang w:val="fr-CH"/>
        </w:rPr>
      </w:pPr>
    </w:p>
    <w:p w:rsidR="008D02FB" w:rsidRPr="00BF36CC" w:rsidRDefault="008D02FB" w:rsidP="008D02FB">
      <w:pPr>
        <w:rPr>
          <w:lang w:val="fr-CH"/>
        </w:rPr>
      </w:pPr>
    </w:p>
    <w:p w:rsidR="008D02FB" w:rsidRPr="00BF36CC" w:rsidRDefault="008D02FB" w:rsidP="008D02FB">
      <w:pPr>
        <w:rPr>
          <w:lang w:val="fr-CH"/>
        </w:rPr>
      </w:pPr>
    </w:p>
    <w:p w:rsidR="008D02FB" w:rsidRPr="00BF36CC" w:rsidRDefault="008D02FB" w:rsidP="008D02FB">
      <w:pPr>
        <w:rPr>
          <w:lang w:val="fr-CH"/>
        </w:rPr>
      </w:pPr>
    </w:p>
    <w:p w:rsidR="008D02FB" w:rsidRPr="00BF36CC" w:rsidRDefault="008D02FB" w:rsidP="008D02FB">
      <w:pPr>
        <w:rPr>
          <w:lang w:val="fr-CH"/>
        </w:rPr>
      </w:pPr>
    </w:p>
    <w:p w:rsidR="008D02FB" w:rsidRPr="00BF36CC" w:rsidRDefault="008D02FB" w:rsidP="008D02FB">
      <w:pPr>
        <w:rPr>
          <w:lang w:val="fr-CH"/>
        </w:rPr>
      </w:pPr>
    </w:p>
    <w:p w:rsidR="008D02FB" w:rsidRPr="00BF36CC" w:rsidRDefault="008D02FB" w:rsidP="008D02FB">
      <w:pPr>
        <w:rPr>
          <w:lang w:val="fr-CH"/>
        </w:rPr>
      </w:pPr>
    </w:p>
    <w:p w:rsidR="008D02FB" w:rsidRPr="00BF36CC" w:rsidRDefault="008D02FB" w:rsidP="008D02FB">
      <w:pPr>
        <w:rPr>
          <w:lang w:val="fr-CH"/>
        </w:rPr>
      </w:pPr>
    </w:p>
    <w:p w:rsidR="008D02FB" w:rsidRPr="00BF36CC" w:rsidRDefault="008D02FB" w:rsidP="008D02FB">
      <w:pPr>
        <w:rPr>
          <w:lang w:val="fr-CH"/>
        </w:rPr>
      </w:pPr>
    </w:p>
    <w:p w:rsidR="008D02FB" w:rsidRPr="00BF36CC" w:rsidRDefault="008D02FB" w:rsidP="008D02FB">
      <w:pPr>
        <w:rPr>
          <w:lang w:val="fr-CH"/>
        </w:rPr>
      </w:pPr>
    </w:p>
    <w:p w:rsidR="008D02FB" w:rsidRPr="00BF36CC" w:rsidRDefault="008D02FB" w:rsidP="008D02FB">
      <w:pPr>
        <w:rPr>
          <w:lang w:val="fr-CH"/>
        </w:rPr>
      </w:pPr>
    </w:p>
    <w:p w:rsidR="008D02FB" w:rsidRPr="00BF36CC" w:rsidRDefault="008D02FB" w:rsidP="008D02FB">
      <w:pPr>
        <w:rPr>
          <w:lang w:val="fr-CH"/>
        </w:rPr>
      </w:pPr>
    </w:p>
    <w:p w:rsidR="008D02FB" w:rsidRPr="00BF36CC" w:rsidRDefault="008D02FB" w:rsidP="008D02FB">
      <w:pPr>
        <w:rPr>
          <w:lang w:val="fr-CH"/>
        </w:rPr>
      </w:pPr>
    </w:p>
    <w:p w:rsidR="008D02FB" w:rsidRPr="00BF36CC" w:rsidRDefault="008D02FB" w:rsidP="008D02FB">
      <w:pPr>
        <w:rPr>
          <w:lang w:val="fr-CH"/>
        </w:rPr>
      </w:pPr>
    </w:p>
    <w:p w:rsidR="008D02FB" w:rsidRPr="00BF36CC" w:rsidRDefault="008D02FB" w:rsidP="008D02FB">
      <w:pPr>
        <w:rPr>
          <w:lang w:val="fr-CH"/>
        </w:rPr>
      </w:pPr>
    </w:p>
    <w:p w:rsidR="008D02FB" w:rsidRPr="00BF36CC" w:rsidRDefault="008D02FB" w:rsidP="008D02FB">
      <w:pPr>
        <w:rPr>
          <w:lang w:val="fr-CH"/>
        </w:rPr>
      </w:pPr>
    </w:p>
    <w:p w:rsidR="008D02FB" w:rsidRPr="00BF36CC" w:rsidRDefault="008D02FB" w:rsidP="008D02FB">
      <w:pPr>
        <w:rPr>
          <w:lang w:val="fr-CH"/>
        </w:rPr>
      </w:pPr>
    </w:p>
    <w:p w:rsidR="008D02FB" w:rsidRPr="00BF36CC" w:rsidRDefault="008D02FB" w:rsidP="008D02FB">
      <w:pPr>
        <w:rPr>
          <w:lang w:val="fr-CH"/>
        </w:rPr>
      </w:pPr>
    </w:p>
    <w:p w:rsidR="008D02FB" w:rsidRPr="00BF36CC" w:rsidRDefault="00DD2C05" w:rsidP="008D02FB">
      <w:pPr>
        <w:rPr>
          <w:b/>
          <w:lang w:val="fr-CH"/>
        </w:rPr>
      </w:pPr>
      <w:r w:rsidRPr="00BF36CC">
        <w:rPr>
          <w:b/>
          <w:lang w:val="fr-CH"/>
        </w:rPr>
        <w:t>Teneur</w:t>
      </w:r>
      <w:r w:rsidR="00E545D9" w:rsidRPr="00BF36CC">
        <w:rPr>
          <w:w w:val="50"/>
          <w:lang w:val="fr-CH"/>
        </w:rPr>
        <w:t> </w:t>
      </w:r>
      <w:r w:rsidR="008D02FB" w:rsidRPr="00BF36CC">
        <w:rPr>
          <w:b/>
          <w:lang w:val="fr-CH"/>
        </w:rPr>
        <w:t xml:space="preserve">: </w:t>
      </w:r>
      <w:r w:rsidR="00A2629F">
        <w:rPr>
          <w:b/>
          <w:lang w:val="fr-CH"/>
        </w:rPr>
        <w:t>avril</w:t>
      </w:r>
      <w:r w:rsidR="008D02FB" w:rsidRPr="00BF36CC">
        <w:rPr>
          <w:b/>
          <w:lang w:val="fr-CH"/>
        </w:rPr>
        <w:t xml:space="preserve"> 20</w:t>
      </w:r>
      <w:r w:rsidR="00A2629F">
        <w:rPr>
          <w:b/>
          <w:lang w:val="fr-CH"/>
        </w:rPr>
        <w:t>23</w:t>
      </w:r>
    </w:p>
    <w:p w:rsidR="008D02FB" w:rsidRPr="00833A74" w:rsidRDefault="004B4250" w:rsidP="008D02FB">
      <w:pPr>
        <w:rPr>
          <w:lang w:val="fr-CH"/>
        </w:rPr>
      </w:pPr>
      <w:r w:rsidRPr="002F2911">
        <w:rPr>
          <w:sz w:val="16"/>
          <w:szCs w:val="16"/>
          <w:lang w:val="fr-CH"/>
        </w:rPr>
        <w:t>2019.JGK.5063</w:t>
      </w:r>
      <w:r w:rsidR="008D02FB" w:rsidRPr="00833A74">
        <w:rPr>
          <w:lang w:val="fr-CH"/>
        </w:rPr>
        <w:br w:type="page"/>
      </w:r>
    </w:p>
    <w:p w:rsidR="00B10791" w:rsidRPr="00833A74" w:rsidRDefault="00B10791">
      <w:pPr>
        <w:rPr>
          <w:lang w:val="fr-CH"/>
        </w:rPr>
      </w:pPr>
    </w:p>
    <w:p w:rsidR="00E46C53" w:rsidRPr="00BF36CC" w:rsidRDefault="00DD2C05" w:rsidP="00E46C53">
      <w:pPr>
        <w:ind w:left="2124" w:firstLine="6"/>
        <w:rPr>
          <w:lang w:val="fr-CH"/>
        </w:rPr>
      </w:pPr>
      <w:r w:rsidRPr="00BF36CC">
        <w:rPr>
          <w:b/>
          <w:spacing w:val="24"/>
          <w:sz w:val="28"/>
          <w:lang w:val="fr-CH"/>
        </w:rPr>
        <w:t>Rè</w:t>
      </w:r>
      <w:r w:rsidR="00E46C53" w:rsidRPr="00BF36CC">
        <w:rPr>
          <w:b/>
          <w:spacing w:val="24"/>
          <w:sz w:val="28"/>
          <w:lang w:val="fr-CH"/>
        </w:rPr>
        <w:t xml:space="preserve">glement </w:t>
      </w:r>
      <w:r w:rsidRPr="00BF36CC">
        <w:rPr>
          <w:b/>
          <w:spacing w:val="24"/>
          <w:sz w:val="28"/>
          <w:lang w:val="fr-CH"/>
        </w:rPr>
        <w:t>concernant la dissolution de la réserve liée à la réévaluation</w:t>
      </w: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371"/>
      </w:tblGrid>
      <w:tr w:rsidR="008D02FB" w:rsidRPr="00086D60" w:rsidTr="008F6597">
        <w:trPr>
          <w:trHeight w:val="7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8D02FB" w:rsidRPr="00DD2C05" w:rsidRDefault="008D02FB" w:rsidP="008F6597">
            <w:pPr>
              <w:rPr>
                <w:sz w:val="18"/>
                <w:lang w:val="fr-CH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D02FB" w:rsidRPr="00142F38" w:rsidRDefault="008D02FB" w:rsidP="008F6597">
            <w:pPr>
              <w:jc w:val="both"/>
              <w:rPr>
                <w:lang w:val="fr-CH"/>
              </w:rPr>
            </w:pPr>
            <w:r w:rsidRPr="00DD2C05">
              <w:rPr>
                <w:lang w:val="fr-CH"/>
              </w:rPr>
              <w:br/>
            </w:r>
            <w:r w:rsidRPr="007219E0">
              <w:rPr>
                <w:lang w:val="fr-CH"/>
              </w:rPr>
              <w:t xml:space="preserve">Règlement </w:t>
            </w:r>
            <w:r>
              <w:rPr>
                <w:lang w:val="fr-CH"/>
              </w:rPr>
              <w:t>édicté sur la base de</w:t>
            </w:r>
            <w:r w:rsidRPr="007219E0">
              <w:rPr>
                <w:lang w:val="fr-CH"/>
              </w:rPr>
              <w:t xml:space="preserve"> </w:t>
            </w:r>
            <w:r>
              <w:rPr>
                <w:lang w:val="fr-CH"/>
              </w:rPr>
              <w:t>l’</w:t>
            </w:r>
            <w:r w:rsidRPr="007219E0">
              <w:rPr>
                <w:lang w:val="fr-CH"/>
              </w:rPr>
              <w:t>article</w:t>
            </w:r>
            <w:r>
              <w:rPr>
                <w:lang w:val="fr-CH"/>
              </w:rPr>
              <w:t xml:space="preserve"> T2-3, alinéa 2, chiffre 7 </w:t>
            </w:r>
            <w:r w:rsidRPr="007219E0">
              <w:rPr>
                <w:lang w:val="fr-CH"/>
              </w:rPr>
              <w:t>de l’ordonnance du 16 décembre 1998 sur les communes</w:t>
            </w:r>
            <w:r w:rsidRPr="00142F38">
              <w:rPr>
                <w:lang w:val="fr-CH"/>
              </w:rPr>
              <w:t xml:space="preserve"> (OCo)</w:t>
            </w:r>
            <w:r>
              <w:rPr>
                <w:rStyle w:val="Funotenzeichen"/>
              </w:rPr>
              <w:footnoteReference w:id="1"/>
            </w:r>
          </w:p>
        </w:tc>
      </w:tr>
      <w:tr w:rsidR="008D02FB" w:rsidRPr="00086D60" w:rsidTr="008F6597">
        <w:trPr>
          <w:trHeight w:val="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8D02FB" w:rsidRPr="00142F38" w:rsidRDefault="008D02FB" w:rsidP="008F6597">
            <w:pPr>
              <w:rPr>
                <w:sz w:val="18"/>
                <w:lang w:val="fr-CH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D02FB" w:rsidRPr="00142F38" w:rsidRDefault="008D02FB" w:rsidP="008F6597">
            <w:pPr>
              <w:pStyle w:val="berschrift1"/>
              <w:tabs>
                <w:tab w:val="left" w:pos="922"/>
              </w:tabs>
              <w:jc w:val="both"/>
              <w:rPr>
                <w:lang w:val="fr-CH"/>
              </w:rPr>
            </w:pPr>
          </w:p>
        </w:tc>
      </w:tr>
      <w:tr w:rsidR="008D02FB" w:rsidRPr="00086D60" w:rsidTr="008F6597">
        <w:trPr>
          <w:trHeight w:val="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8D02FB" w:rsidRDefault="008D02FB" w:rsidP="008F6597">
            <w:pPr>
              <w:rPr>
                <w:sz w:val="18"/>
              </w:rPr>
            </w:pPr>
            <w:r>
              <w:rPr>
                <w:sz w:val="18"/>
              </w:rPr>
              <w:t>But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D02FB" w:rsidRPr="00E47A90" w:rsidRDefault="008D02FB" w:rsidP="008F6597">
            <w:pPr>
              <w:pStyle w:val="berschrift1"/>
              <w:tabs>
                <w:tab w:val="left" w:pos="922"/>
              </w:tabs>
              <w:jc w:val="both"/>
              <w:rPr>
                <w:lang w:val="fr-CH"/>
              </w:rPr>
            </w:pPr>
            <w:r w:rsidRPr="00142F38">
              <w:rPr>
                <w:lang w:val="fr-CH"/>
              </w:rPr>
              <w:t>Art. 1</w:t>
            </w:r>
            <w:r w:rsidRPr="00142F38">
              <w:rPr>
                <w:lang w:val="fr-CH"/>
              </w:rPr>
              <w:tab/>
            </w:r>
            <w:r w:rsidRPr="00142F38">
              <w:rPr>
                <w:rFonts w:cs="Arial"/>
                <w:b w:val="0"/>
                <w:szCs w:val="22"/>
                <w:lang w:val="fr-CH"/>
              </w:rPr>
              <w:t xml:space="preserve">Le présent règlement régit la dissolution de la réserve liée à la réévaluation du patrimoine financier (compte 29600.XX) </w:t>
            </w:r>
            <w:r>
              <w:rPr>
                <w:rFonts w:cs="Arial"/>
                <w:b w:val="0"/>
                <w:szCs w:val="22"/>
                <w:lang w:val="fr-CH"/>
              </w:rPr>
              <w:t xml:space="preserve">à partir de </w:t>
            </w:r>
            <w:r w:rsidRPr="00142F38">
              <w:rPr>
                <w:rFonts w:cs="Arial"/>
                <w:b w:val="0"/>
                <w:szCs w:val="22"/>
                <w:lang w:val="fr-CH"/>
              </w:rPr>
              <w:t xml:space="preserve">la sixième année suivant l'introduction du MCH2 </w:t>
            </w:r>
            <w:r>
              <w:rPr>
                <w:rFonts w:cs="Arial"/>
                <w:b w:val="0"/>
                <w:szCs w:val="22"/>
                <w:lang w:val="fr-CH"/>
              </w:rPr>
              <w:t xml:space="preserve">dans la commune de </w:t>
            </w:r>
            <w:r w:rsidRPr="007219E0">
              <w:rPr>
                <w:lang w:val="fr-CH"/>
              </w:rPr>
              <w:sym w:font="Wingdings" w:char="F06E"/>
            </w:r>
            <w:r w:rsidRPr="007219E0">
              <w:rPr>
                <w:lang w:val="fr-CH"/>
              </w:rPr>
              <w:sym w:font="Wingdings" w:char="F06E"/>
            </w:r>
            <w:r w:rsidRPr="007219E0">
              <w:rPr>
                <w:lang w:val="fr-CH"/>
              </w:rPr>
              <w:sym w:font="Wingdings" w:char="F06E"/>
            </w:r>
            <w:r>
              <w:rPr>
                <w:rFonts w:cs="Arial"/>
                <w:b w:val="0"/>
                <w:szCs w:val="22"/>
                <w:lang w:val="fr-CH"/>
              </w:rPr>
              <w:t xml:space="preserve">, en dérogation à l’article </w:t>
            </w:r>
            <w:r w:rsidRPr="00E47A90">
              <w:rPr>
                <w:rFonts w:cs="Arial"/>
                <w:b w:val="0"/>
                <w:szCs w:val="22"/>
                <w:lang w:val="fr-CH"/>
              </w:rPr>
              <w:t>T2-3, alinéa 2, chiffre</w:t>
            </w:r>
            <w:r>
              <w:rPr>
                <w:rFonts w:cs="Arial"/>
                <w:b w:val="0"/>
                <w:szCs w:val="22"/>
                <w:lang w:val="fr-CH"/>
              </w:rPr>
              <w:t xml:space="preserve"> 6 OCo</w:t>
            </w:r>
            <w:r w:rsidRPr="00E47A90">
              <w:rPr>
                <w:rFonts w:cs="Arial"/>
                <w:b w:val="0"/>
                <w:szCs w:val="22"/>
                <w:lang w:val="fr-CH"/>
              </w:rPr>
              <w:t xml:space="preserve">. </w:t>
            </w:r>
          </w:p>
        </w:tc>
      </w:tr>
      <w:tr w:rsidR="008D02FB" w:rsidRPr="00086D60" w:rsidTr="008F6597">
        <w:trPr>
          <w:trHeight w:val="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8D02FB" w:rsidRPr="00E47A90" w:rsidRDefault="008D02FB" w:rsidP="008F6597">
            <w:pPr>
              <w:rPr>
                <w:sz w:val="18"/>
                <w:lang w:val="fr-CH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D02FB" w:rsidRPr="00E47A90" w:rsidRDefault="008D02FB" w:rsidP="008F6597">
            <w:pPr>
              <w:tabs>
                <w:tab w:val="left" w:pos="213"/>
                <w:tab w:val="left" w:pos="922"/>
              </w:tabs>
              <w:jc w:val="both"/>
              <w:rPr>
                <w:lang w:val="fr-CH"/>
              </w:rPr>
            </w:pPr>
          </w:p>
        </w:tc>
      </w:tr>
      <w:tr w:rsidR="008D02FB" w:rsidRPr="00086D60" w:rsidTr="008F6597">
        <w:trPr>
          <w:trHeight w:val="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8D02FB" w:rsidRPr="00E47A90" w:rsidRDefault="008D02FB" w:rsidP="008F6597">
            <w:pPr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>D</w:t>
            </w:r>
            <w:r w:rsidRPr="00E47A90">
              <w:rPr>
                <w:sz w:val="18"/>
                <w:lang w:val="fr-CH"/>
              </w:rPr>
              <w:t>issolution de la réserve liée à la réévaluation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D02FB" w:rsidRPr="00E47A90" w:rsidRDefault="008D02FB" w:rsidP="008F6597">
            <w:pPr>
              <w:tabs>
                <w:tab w:val="left" w:pos="213"/>
                <w:tab w:val="left" w:pos="922"/>
              </w:tabs>
              <w:jc w:val="both"/>
              <w:rPr>
                <w:rFonts w:cs="Arial"/>
                <w:szCs w:val="22"/>
                <w:lang w:val="fr-CH"/>
              </w:rPr>
            </w:pPr>
            <w:r w:rsidRPr="00E47A90">
              <w:rPr>
                <w:b/>
                <w:bCs/>
                <w:lang w:val="fr-CH"/>
              </w:rPr>
              <w:t>Art. 2</w:t>
            </w:r>
            <w:r w:rsidRPr="00E47A90">
              <w:rPr>
                <w:b/>
                <w:bCs/>
                <w:lang w:val="fr-CH"/>
              </w:rPr>
              <w:tab/>
            </w:r>
            <w:r w:rsidRPr="00E47A90">
              <w:rPr>
                <w:rFonts w:cs="Arial"/>
                <w:szCs w:val="22"/>
                <w:lang w:val="fr-CH"/>
              </w:rPr>
              <w:t>La réserve liée à la réévaluation</w:t>
            </w:r>
            <w:r>
              <w:rPr>
                <w:rFonts w:cs="Arial"/>
                <w:szCs w:val="22"/>
                <w:lang w:val="fr-CH"/>
              </w:rPr>
              <w:t xml:space="preserve"> n’est pas dissoute</w:t>
            </w:r>
            <w:r w:rsidRPr="00E47A90">
              <w:rPr>
                <w:rFonts w:cs="Arial"/>
                <w:szCs w:val="22"/>
                <w:lang w:val="fr-CH"/>
              </w:rPr>
              <w:t>.</w:t>
            </w:r>
          </w:p>
          <w:p w:rsidR="008D02FB" w:rsidRPr="00E47A90" w:rsidRDefault="008D02FB" w:rsidP="008F6597">
            <w:pPr>
              <w:tabs>
                <w:tab w:val="left" w:pos="213"/>
                <w:tab w:val="left" w:pos="922"/>
              </w:tabs>
              <w:jc w:val="both"/>
              <w:rPr>
                <w:rFonts w:cs="Arial"/>
                <w:szCs w:val="22"/>
                <w:lang w:val="fr-CH"/>
              </w:rPr>
            </w:pPr>
          </w:p>
          <w:p w:rsidR="008D02FB" w:rsidRPr="00E47A90" w:rsidRDefault="008D02FB" w:rsidP="008F6597">
            <w:pPr>
              <w:tabs>
                <w:tab w:val="left" w:pos="922"/>
              </w:tabs>
              <w:jc w:val="both"/>
              <w:rPr>
                <w:rFonts w:cs="Arial"/>
                <w:b/>
                <w:szCs w:val="22"/>
                <w:lang w:val="fr-CH"/>
              </w:rPr>
            </w:pPr>
            <w:r w:rsidRPr="00E47A90">
              <w:rPr>
                <w:rFonts w:cs="Arial"/>
                <w:szCs w:val="22"/>
                <w:lang w:val="fr-CH"/>
              </w:rPr>
              <w:tab/>
            </w:r>
            <w:r w:rsidRPr="00E47A90">
              <w:rPr>
                <w:rFonts w:cs="Arial"/>
                <w:b/>
                <w:szCs w:val="22"/>
                <w:highlight w:val="lightGray"/>
                <w:lang w:val="fr-CH"/>
              </w:rPr>
              <w:t xml:space="preserve">Variante </w:t>
            </w:r>
          </w:p>
          <w:p w:rsidR="008D02FB" w:rsidRPr="00E47A90" w:rsidRDefault="008D02FB" w:rsidP="008F6597">
            <w:pPr>
              <w:tabs>
                <w:tab w:val="left" w:pos="922"/>
              </w:tabs>
              <w:jc w:val="both"/>
              <w:rPr>
                <w:rFonts w:cs="Arial"/>
                <w:szCs w:val="22"/>
                <w:lang w:val="fr-CH"/>
              </w:rPr>
            </w:pPr>
          </w:p>
          <w:p w:rsidR="008D02FB" w:rsidRPr="00E47A90" w:rsidRDefault="008D02FB" w:rsidP="008F6597">
            <w:pPr>
              <w:tabs>
                <w:tab w:val="left" w:pos="922"/>
              </w:tabs>
              <w:jc w:val="both"/>
              <w:rPr>
                <w:szCs w:val="22"/>
                <w:lang w:val="fr-CH"/>
              </w:rPr>
            </w:pPr>
            <w:r w:rsidRPr="00E47A90">
              <w:rPr>
                <w:lang w:val="fr-CH"/>
              </w:rPr>
              <w:tab/>
            </w:r>
            <w:r w:rsidRPr="00E47A90">
              <w:rPr>
                <w:rFonts w:cs="Arial"/>
                <w:szCs w:val="22"/>
                <w:lang w:val="fr-CH"/>
              </w:rPr>
              <w:t>La réserve liée à la réévaluation</w:t>
            </w:r>
            <w:r>
              <w:rPr>
                <w:rFonts w:cs="Arial"/>
                <w:szCs w:val="22"/>
                <w:lang w:val="fr-CH"/>
              </w:rPr>
              <w:t xml:space="preserve"> est dissoute de manière linéaire pendant </w:t>
            </w:r>
            <w:r w:rsidRPr="00E47A90">
              <w:rPr>
                <w:highlight w:val="lightGray"/>
                <w:lang w:val="fr-CH"/>
              </w:rPr>
              <w:t>xx</w:t>
            </w:r>
            <w:r w:rsidRPr="00E47A90">
              <w:rPr>
                <w:lang w:val="fr-CH"/>
              </w:rPr>
              <w:t xml:space="preserve"> </w:t>
            </w:r>
            <w:r>
              <w:rPr>
                <w:lang w:val="fr-CH"/>
              </w:rPr>
              <w:t>ans</w:t>
            </w:r>
            <w:r w:rsidRPr="00E47A90">
              <w:rPr>
                <w:szCs w:val="22"/>
                <w:lang w:val="fr-CH"/>
              </w:rPr>
              <w:t>.</w:t>
            </w:r>
          </w:p>
          <w:p w:rsidR="008D02FB" w:rsidRPr="00E47A90" w:rsidRDefault="008D02FB" w:rsidP="008F6597">
            <w:pPr>
              <w:tabs>
                <w:tab w:val="left" w:pos="213"/>
                <w:tab w:val="left" w:pos="922"/>
              </w:tabs>
              <w:jc w:val="both"/>
              <w:rPr>
                <w:sz w:val="16"/>
                <w:szCs w:val="16"/>
                <w:lang w:val="fr-CH"/>
              </w:rPr>
            </w:pPr>
          </w:p>
        </w:tc>
      </w:tr>
      <w:tr w:rsidR="008D02FB" w:rsidRPr="00E47A90" w:rsidTr="008F6597">
        <w:trPr>
          <w:trHeight w:val="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8D02FB" w:rsidRPr="00E47A90" w:rsidRDefault="008D02FB" w:rsidP="008F6597">
            <w:pPr>
              <w:rPr>
                <w:sz w:val="18"/>
                <w:lang w:val="fr-CH"/>
              </w:rPr>
            </w:pPr>
            <w:r>
              <w:rPr>
                <w:sz w:val="18"/>
                <w:lang w:val="fr-CH"/>
              </w:rPr>
              <w:t>Prélèvements sur</w:t>
            </w:r>
            <w:r w:rsidRPr="00E47A90">
              <w:rPr>
                <w:sz w:val="18"/>
                <w:lang w:val="fr-CH"/>
              </w:rPr>
              <w:t xml:space="preserve"> la réserve liée à la réévaluation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D02FB" w:rsidRPr="00E47A90" w:rsidRDefault="008D02FB" w:rsidP="008F6597">
            <w:pPr>
              <w:tabs>
                <w:tab w:val="left" w:pos="213"/>
                <w:tab w:val="left" w:pos="922"/>
              </w:tabs>
              <w:jc w:val="both"/>
              <w:rPr>
                <w:rFonts w:cs="Arial"/>
                <w:szCs w:val="22"/>
                <w:lang w:val="fr-CH"/>
              </w:rPr>
            </w:pPr>
            <w:r w:rsidRPr="001E0276">
              <w:rPr>
                <w:b/>
                <w:bCs/>
                <w:lang w:val="fr-CH"/>
              </w:rPr>
              <w:t>Art. 3</w:t>
            </w:r>
            <w:r w:rsidRPr="001E0276">
              <w:rPr>
                <w:b/>
                <w:bCs/>
                <w:vertAlign w:val="superscript"/>
                <w:lang w:val="fr-CH"/>
              </w:rPr>
              <w:tab/>
            </w:r>
            <w:r w:rsidRPr="00E47A90">
              <w:rPr>
                <w:rFonts w:cs="Arial"/>
                <w:szCs w:val="22"/>
                <w:lang w:val="fr-CH"/>
              </w:rPr>
              <w:t xml:space="preserve">Les prélèvements sur la réserve liée à la réévaluation </w:t>
            </w:r>
            <w:r>
              <w:rPr>
                <w:rFonts w:cs="Arial"/>
                <w:szCs w:val="22"/>
                <w:lang w:val="fr-CH"/>
              </w:rPr>
              <w:t xml:space="preserve">ne </w:t>
            </w:r>
            <w:r w:rsidRPr="00E47A90">
              <w:rPr>
                <w:rFonts w:cs="Arial"/>
                <w:szCs w:val="22"/>
                <w:lang w:val="fr-CH"/>
              </w:rPr>
              <w:t>sont admis</w:t>
            </w:r>
            <w:r>
              <w:rPr>
                <w:rFonts w:cs="Arial"/>
                <w:szCs w:val="22"/>
                <w:lang w:val="fr-CH"/>
              </w:rPr>
              <w:t xml:space="preserve"> que </w:t>
            </w:r>
            <w:r w:rsidRPr="00E47A90">
              <w:rPr>
                <w:rFonts w:cs="Arial"/>
                <w:szCs w:val="22"/>
                <w:lang w:val="fr-CH"/>
              </w:rPr>
              <w:t>dans la mesure prévue à l'article</w:t>
            </w:r>
            <w:r>
              <w:rPr>
                <w:rFonts w:cs="Arial"/>
                <w:szCs w:val="22"/>
                <w:lang w:val="fr-CH"/>
              </w:rPr>
              <w:t xml:space="preserve"> 81a, alinéa 2 OCo et une fois que la </w:t>
            </w:r>
            <w:r w:rsidRPr="00E47A90">
              <w:rPr>
                <w:rFonts w:cs="Arial"/>
                <w:szCs w:val="22"/>
                <w:lang w:val="fr-CH"/>
              </w:rPr>
              <w:t xml:space="preserve">réserve de fluctuation </w:t>
            </w:r>
            <w:r>
              <w:rPr>
                <w:rFonts w:cs="Arial"/>
                <w:szCs w:val="22"/>
                <w:lang w:val="fr-CH"/>
              </w:rPr>
              <w:t xml:space="preserve">est </w:t>
            </w:r>
            <w:r w:rsidRPr="00E47A90">
              <w:rPr>
                <w:rFonts w:cs="Arial"/>
                <w:szCs w:val="22"/>
                <w:lang w:val="fr-CH"/>
              </w:rPr>
              <w:t>épuisée</w:t>
            </w:r>
            <w:r>
              <w:rPr>
                <w:rFonts w:cs="Arial"/>
                <w:szCs w:val="22"/>
                <w:lang w:val="fr-CH"/>
              </w:rPr>
              <w:t xml:space="preserve"> </w:t>
            </w:r>
            <w:r w:rsidRPr="00E47A90">
              <w:rPr>
                <w:rFonts w:cs="Arial"/>
                <w:szCs w:val="22"/>
                <w:lang w:val="fr-CH"/>
              </w:rPr>
              <w:t>(</w:t>
            </w:r>
            <w:r>
              <w:rPr>
                <w:rFonts w:cs="Arial"/>
                <w:szCs w:val="22"/>
                <w:lang w:val="fr-CH"/>
              </w:rPr>
              <w:t>a</w:t>
            </w:r>
            <w:r w:rsidRPr="00E47A90">
              <w:rPr>
                <w:rFonts w:cs="Arial"/>
                <w:szCs w:val="22"/>
                <w:lang w:val="fr-CH"/>
              </w:rPr>
              <w:t>rt. T2-3</w:t>
            </w:r>
            <w:r>
              <w:rPr>
                <w:rFonts w:cs="Arial"/>
                <w:szCs w:val="22"/>
                <w:lang w:val="fr-CH"/>
              </w:rPr>
              <w:t>, al.</w:t>
            </w:r>
            <w:r w:rsidRPr="00E47A90">
              <w:rPr>
                <w:rFonts w:cs="Arial"/>
                <w:szCs w:val="22"/>
                <w:lang w:val="fr-CH"/>
              </w:rPr>
              <w:t xml:space="preserve"> 2</w:t>
            </w:r>
            <w:r>
              <w:rPr>
                <w:rFonts w:cs="Arial"/>
                <w:szCs w:val="22"/>
                <w:lang w:val="fr-CH"/>
              </w:rPr>
              <w:t>, ch.</w:t>
            </w:r>
            <w:r w:rsidRPr="00E47A90">
              <w:rPr>
                <w:rFonts w:cs="Arial"/>
                <w:szCs w:val="22"/>
                <w:lang w:val="fr-CH"/>
              </w:rPr>
              <w:t xml:space="preserve"> 3</w:t>
            </w:r>
            <w:r>
              <w:rPr>
                <w:rFonts w:cs="Arial"/>
                <w:szCs w:val="22"/>
                <w:lang w:val="fr-CH"/>
              </w:rPr>
              <w:t>, lit.</w:t>
            </w:r>
            <w:r w:rsidRPr="00E47A90">
              <w:rPr>
                <w:rFonts w:cs="Arial"/>
                <w:szCs w:val="22"/>
                <w:lang w:val="fr-CH"/>
              </w:rPr>
              <w:t xml:space="preserve"> </w:t>
            </w:r>
            <w:r w:rsidRPr="00E47A90">
              <w:rPr>
                <w:rFonts w:cs="Arial"/>
                <w:i/>
                <w:szCs w:val="22"/>
                <w:lang w:val="fr-CH"/>
              </w:rPr>
              <w:t>b</w:t>
            </w:r>
            <w:r w:rsidRPr="00E47A90">
              <w:rPr>
                <w:rFonts w:cs="Arial"/>
                <w:szCs w:val="22"/>
                <w:lang w:val="fr-CH"/>
              </w:rPr>
              <w:t xml:space="preserve"> </w:t>
            </w:r>
            <w:r>
              <w:rPr>
                <w:rFonts w:cs="Arial"/>
                <w:szCs w:val="22"/>
                <w:lang w:val="fr-CH"/>
              </w:rPr>
              <w:t>OCo</w:t>
            </w:r>
            <w:r w:rsidRPr="00E47A90">
              <w:rPr>
                <w:rFonts w:cs="Arial"/>
                <w:szCs w:val="22"/>
                <w:lang w:val="fr-CH"/>
              </w:rPr>
              <w:t>)</w:t>
            </w:r>
            <w:r>
              <w:rPr>
                <w:rFonts w:cs="Arial"/>
                <w:szCs w:val="22"/>
                <w:lang w:val="fr-CH"/>
              </w:rPr>
              <w:t>.</w:t>
            </w:r>
          </w:p>
        </w:tc>
      </w:tr>
      <w:tr w:rsidR="008D02FB" w:rsidRPr="00E47A90" w:rsidTr="008F6597">
        <w:trPr>
          <w:trHeight w:val="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8D02FB" w:rsidRPr="00E47A90" w:rsidRDefault="008D02FB" w:rsidP="008F6597">
            <w:pPr>
              <w:rPr>
                <w:sz w:val="18"/>
                <w:lang w:val="fr-CH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D02FB" w:rsidRPr="00E47A90" w:rsidRDefault="008D02FB" w:rsidP="008F6597">
            <w:pPr>
              <w:tabs>
                <w:tab w:val="left" w:pos="213"/>
                <w:tab w:val="left" w:pos="922"/>
              </w:tabs>
              <w:jc w:val="both"/>
              <w:rPr>
                <w:b/>
                <w:bCs/>
                <w:lang w:val="fr-CH"/>
              </w:rPr>
            </w:pPr>
          </w:p>
        </w:tc>
      </w:tr>
      <w:tr w:rsidR="008D02FB" w:rsidRPr="00086D60" w:rsidTr="008F6597">
        <w:trPr>
          <w:trHeight w:val="20"/>
        </w:trPr>
        <w:tc>
          <w:tcPr>
            <w:tcW w:w="2055" w:type="dxa"/>
            <w:tcBorders>
              <w:top w:val="nil"/>
              <w:left w:val="nil"/>
              <w:bottom w:val="nil"/>
              <w:right w:val="nil"/>
            </w:tcBorders>
          </w:tcPr>
          <w:p w:rsidR="008D02FB" w:rsidRPr="00E47A90" w:rsidRDefault="008D02FB" w:rsidP="008F6597">
            <w:pPr>
              <w:rPr>
                <w:sz w:val="18"/>
                <w:lang w:val="fr-CH"/>
              </w:rPr>
            </w:pPr>
            <w:r w:rsidRPr="007219E0">
              <w:rPr>
                <w:sz w:val="18"/>
                <w:lang w:val="fr-CH"/>
              </w:rPr>
              <w:t>Entrée en vigueur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D02FB" w:rsidRPr="00E47A90" w:rsidRDefault="008D02FB" w:rsidP="008F6597">
            <w:pPr>
              <w:tabs>
                <w:tab w:val="left" w:pos="213"/>
                <w:tab w:val="left" w:pos="922"/>
              </w:tabs>
              <w:jc w:val="both"/>
              <w:rPr>
                <w:lang w:val="fr-CH"/>
              </w:rPr>
            </w:pPr>
            <w:r w:rsidRPr="00E47A90">
              <w:rPr>
                <w:b/>
                <w:bCs/>
                <w:lang w:val="fr-CH"/>
              </w:rPr>
              <w:t>Art. 4</w:t>
            </w:r>
            <w:r w:rsidRPr="00E47A90">
              <w:rPr>
                <w:vertAlign w:val="superscript"/>
                <w:lang w:val="fr-CH"/>
              </w:rPr>
              <w:tab/>
            </w:r>
            <w:r w:rsidRPr="007219E0">
              <w:rPr>
                <w:lang w:val="fr-CH"/>
              </w:rPr>
              <w:t xml:space="preserve">Le présent règlement entre en vigueur le </w:t>
            </w:r>
            <w:r w:rsidRPr="007219E0">
              <w:rPr>
                <w:lang w:val="fr-CH"/>
              </w:rPr>
              <w:sym w:font="Wingdings" w:char="F06E"/>
            </w:r>
            <w:r w:rsidRPr="007219E0">
              <w:rPr>
                <w:lang w:val="fr-CH"/>
              </w:rPr>
              <w:sym w:font="Wingdings" w:char="F06E"/>
            </w:r>
            <w:r w:rsidRPr="007219E0">
              <w:rPr>
                <w:lang w:val="fr-CH"/>
              </w:rPr>
              <w:sym w:font="Wingdings" w:char="F06E"/>
            </w:r>
            <w:r w:rsidRPr="007219E0">
              <w:rPr>
                <w:lang w:val="fr-CH"/>
              </w:rPr>
              <w:t>.</w:t>
            </w:r>
          </w:p>
        </w:tc>
      </w:tr>
    </w:tbl>
    <w:p w:rsidR="008D02FB" w:rsidRPr="00E47A90" w:rsidRDefault="008D02FB">
      <w:pPr>
        <w:rPr>
          <w:lang w:val="fr-CH"/>
        </w:rPr>
      </w:pPr>
    </w:p>
    <w:p w:rsidR="003D0B1D" w:rsidRPr="00E47A90" w:rsidRDefault="003D0B1D">
      <w:pPr>
        <w:rPr>
          <w:lang w:val="fr-CH"/>
        </w:rPr>
      </w:pPr>
    </w:p>
    <w:p w:rsidR="00E47A90" w:rsidRPr="007219E0" w:rsidRDefault="00E47A90" w:rsidP="00E47A90">
      <w:pPr>
        <w:rPr>
          <w:lang w:val="fr-CH"/>
        </w:rPr>
      </w:pPr>
      <w:r w:rsidRPr="007219E0">
        <w:rPr>
          <w:lang w:val="fr-CH"/>
        </w:rPr>
        <w:t xml:space="preserve">Le présent règlement a été arrêté le </w:t>
      </w:r>
      <w:r w:rsidRPr="007219E0">
        <w:rPr>
          <w:lang w:val="fr-CH"/>
        </w:rPr>
        <w:sym w:font="Wingdings" w:char="F06E"/>
      </w:r>
      <w:r w:rsidRPr="007219E0">
        <w:rPr>
          <w:lang w:val="fr-CH"/>
        </w:rPr>
        <w:sym w:font="Wingdings" w:char="F06E"/>
      </w:r>
      <w:r w:rsidRPr="007219E0">
        <w:rPr>
          <w:lang w:val="fr-CH"/>
        </w:rPr>
        <w:sym w:font="Wingdings" w:char="F06E"/>
      </w:r>
      <w:r w:rsidRPr="007219E0">
        <w:rPr>
          <w:lang w:val="fr-CH"/>
        </w:rPr>
        <w:t xml:space="preserve"> par l’assemblée communale.</w:t>
      </w:r>
    </w:p>
    <w:p w:rsidR="003D0B1D" w:rsidRPr="00E47A90" w:rsidRDefault="003D0B1D">
      <w:pPr>
        <w:rPr>
          <w:lang w:val="fr-CH"/>
        </w:rPr>
      </w:pPr>
    </w:p>
    <w:p w:rsidR="00E47A90" w:rsidRPr="007219E0" w:rsidRDefault="00E47A90" w:rsidP="00BF36CC">
      <w:pPr>
        <w:pStyle w:val="Kopfzeile"/>
        <w:tabs>
          <w:tab w:val="clear" w:pos="4536"/>
          <w:tab w:val="clear" w:pos="9072"/>
          <w:tab w:val="left" w:pos="3402"/>
        </w:tabs>
        <w:rPr>
          <w:lang w:val="fr-CH"/>
        </w:rPr>
      </w:pPr>
      <w:r w:rsidRPr="007219E0">
        <w:rPr>
          <w:lang w:val="fr-CH"/>
        </w:rPr>
        <w:sym w:font="Wingdings" w:char="F06E"/>
      </w:r>
      <w:r w:rsidRPr="007219E0">
        <w:rPr>
          <w:lang w:val="fr-CH"/>
        </w:rPr>
        <w:sym w:font="Wingdings" w:char="F06E"/>
      </w:r>
      <w:r w:rsidRPr="007219E0">
        <w:rPr>
          <w:lang w:val="fr-CH"/>
        </w:rPr>
        <w:sym w:font="Wingdings" w:char="F06E"/>
      </w:r>
      <w:r w:rsidRPr="007219E0">
        <w:rPr>
          <w:lang w:val="fr-CH"/>
        </w:rPr>
        <w:t xml:space="preserve">, le </w:t>
      </w:r>
      <w:r w:rsidRPr="007219E0">
        <w:rPr>
          <w:lang w:val="fr-CH"/>
        </w:rPr>
        <w:sym w:font="Wingdings" w:char="F06E"/>
      </w:r>
      <w:r w:rsidRPr="007219E0">
        <w:rPr>
          <w:lang w:val="fr-CH"/>
        </w:rPr>
        <w:sym w:font="Wingdings" w:char="F06E"/>
      </w:r>
      <w:r w:rsidRPr="007219E0">
        <w:rPr>
          <w:lang w:val="fr-CH"/>
        </w:rPr>
        <w:sym w:font="Wingdings" w:char="F06E"/>
      </w:r>
      <w:r w:rsidRPr="007219E0">
        <w:rPr>
          <w:lang w:val="fr-CH"/>
        </w:rPr>
        <w:tab/>
      </w:r>
      <w:r w:rsidR="00235F85" w:rsidRPr="004E0D20">
        <w:rPr>
          <w:lang w:val="fr-CH"/>
        </w:rPr>
        <w:t>Le</w:t>
      </w:r>
      <w:r w:rsidR="00235F85">
        <w:rPr>
          <w:lang w:val="fr-CH"/>
        </w:rPr>
        <w:t>/la</w:t>
      </w:r>
      <w:r w:rsidR="00235F85" w:rsidRPr="004E0D20">
        <w:rPr>
          <w:lang w:val="fr-CH"/>
        </w:rPr>
        <w:t xml:space="preserve"> président</w:t>
      </w:r>
      <w:r w:rsidR="00235F85">
        <w:rPr>
          <w:lang w:val="fr-CH"/>
        </w:rPr>
        <w:t>(</w:t>
      </w:r>
      <w:r w:rsidR="00235F85" w:rsidRPr="004E0D20">
        <w:rPr>
          <w:lang w:val="fr-CH"/>
        </w:rPr>
        <w:t>e</w:t>
      </w:r>
      <w:r w:rsidR="00235F85">
        <w:rPr>
          <w:lang w:val="fr-CH"/>
        </w:rPr>
        <w:t>)</w:t>
      </w:r>
      <w:r w:rsidR="00235F85">
        <w:rPr>
          <w:color w:val="000000"/>
          <w:w w:val="50"/>
          <w:lang w:val="fr-CH"/>
        </w:rPr>
        <w:t> :</w:t>
      </w:r>
      <w:r w:rsidRPr="007219E0">
        <w:rPr>
          <w:lang w:val="fr-CH"/>
        </w:rPr>
        <w:tab/>
        <w:t>Le/la secrétaire</w:t>
      </w:r>
      <w:r w:rsidR="003428B3" w:rsidRPr="00EB7941">
        <w:rPr>
          <w:color w:val="000000"/>
          <w:w w:val="50"/>
          <w:lang w:val="fr-CH"/>
        </w:rPr>
        <w:t> </w:t>
      </w:r>
      <w:r w:rsidR="003428B3">
        <w:rPr>
          <w:lang w:val="fr-CH"/>
        </w:rPr>
        <w:t>:</w:t>
      </w:r>
    </w:p>
    <w:p w:rsidR="00E47A90" w:rsidRPr="007219E0" w:rsidRDefault="00E47A90" w:rsidP="00E47A90">
      <w:pPr>
        <w:pStyle w:val="Kopfzeile"/>
        <w:tabs>
          <w:tab w:val="clear" w:pos="4536"/>
          <w:tab w:val="clear" w:pos="9072"/>
          <w:tab w:val="left" w:pos="3402"/>
          <w:tab w:val="left" w:pos="6521"/>
        </w:tabs>
        <w:rPr>
          <w:lang w:val="fr-CH"/>
        </w:rPr>
      </w:pPr>
    </w:p>
    <w:p w:rsidR="00E47A90" w:rsidRDefault="00E47A90" w:rsidP="00E47A90">
      <w:pPr>
        <w:pStyle w:val="Kopfzeile"/>
        <w:tabs>
          <w:tab w:val="clear" w:pos="4536"/>
          <w:tab w:val="clear" w:pos="9072"/>
          <w:tab w:val="left" w:pos="3402"/>
          <w:tab w:val="left" w:pos="5812"/>
          <w:tab w:val="left" w:pos="6521"/>
          <w:tab w:val="left" w:pos="8931"/>
        </w:tabs>
        <w:rPr>
          <w:u w:val="single"/>
          <w:lang w:val="fr-CH"/>
        </w:rPr>
      </w:pPr>
      <w:r w:rsidRPr="007219E0">
        <w:rPr>
          <w:lang w:val="fr-CH"/>
        </w:rPr>
        <w:tab/>
      </w:r>
      <w:r w:rsidRPr="007219E0">
        <w:rPr>
          <w:u w:val="single"/>
          <w:lang w:val="fr-CH"/>
        </w:rPr>
        <w:tab/>
      </w:r>
      <w:r w:rsidRPr="007219E0">
        <w:rPr>
          <w:lang w:val="fr-CH"/>
        </w:rPr>
        <w:tab/>
      </w:r>
      <w:r w:rsidRPr="007219E0">
        <w:rPr>
          <w:u w:val="single"/>
          <w:lang w:val="fr-CH"/>
        </w:rPr>
        <w:tab/>
      </w:r>
    </w:p>
    <w:p w:rsidR="00E47A90" w:rsidRDefault="00E47A90" w:rsidP="00E47A90">
      <w:pPr>
        <w:pStyle w:val="Kopfzeile"/>
        <w:tabs>
          <w:tab w:val="clear" w:pos="4536"/>
          <w:tab w:val="clear" w:pos="9072"/>
          <w:tab w:val="left" w:pos="3402"/>
          <w:tab w:val="left" w:pos="5812"/>
          <w:tab w:val="left" w:pos="6521"/>
          <w:tab w:val="left" w:pos="8931"/>
        </w:tabs>
        <w:rPr>
          <w:u w:val="single"/>
          <w:lang w:val="fr-CH"/>
        </w:rPr>
      </w:pPr>
    </w:p>
    <w:p w:rsidR="00E47A90" w:rsidRPr="007219E0" w:rsidRDefault="00E47A90" w:rsidP="00E47A90">
      <w:pPr>
        <w:pStyle w:val="Kopfzeile"/>
        <w:tabs>
          <w:tab w:val="clear" w:pos="4536"/>
          <w:tab w:val="clear" w:pos="9072"/>
          <w:tab w:val="left" w:pos="3402"/>
          <w:tab w:val="left" w:pos="5812"/>
          <w:tab w:val="left" w:pos="6521"/>
          <w:tab w:val="left" w:pos="8931"/>
        </w:tabs>
        <w:rPr>
          <w:u w:val="single"/>
          <w:lang w:val="fr-CH"/>
        </w:rPr>
      </w:pPr>
    </w:p>
    <w:p w:rsidR="00E47A90" w:rsidRPr="007219E0" w:rsidRDefault="00E47A90" w:rsidP="00E47A90">
      <w:pPr>
        <w:rPr>
          <w:b/>
          <w:bCs/>
          <w:sz w:val="24"/>
          <w:highlight w:val="cyan"/>
          <w:lang w:val="fr-CH"/>
        </w:rPr>
      </w:pPr>
      <w:r w:rsidRPr="007219E0">
        <w:rPr>
          <w:b/>
          <w:bCs/>
          <w:sz w:val="24"/>
          <w:lang w:val="fr-CH"/>
        </w:rPr>
        <w:t>Certificat de dépôt public</w:t>
      </w:r>
    </w:p>
    <w:p w:rsidR="00E47A90" w:rsidRPr="007219E0" w:rsidRDefault="00E47A90" w:rsidP="00E47A90">
      <w:pPr>
        <w:rPr>
          <w:lang w:val="fr-CH"/>
        </w:rPr>
      </w:pPr>
    </w:p>
    <w:p w:rsidR="00E47A90" w:rsidRPr="007219E0" w:rsidRDefault="00E47A90" w:rsidP="00E47A90">
      <w:pPr>
        <w:rPr>
          <w:lang w:val="fr-CH"/>
        </w:rPr>
      </w:pPr>
      <w:r w:rsidRPr="007219E0">
        <w:rPr>
          <w:lang w:val="fr-CH"/>
        </w:rPr>
        <w:t xml:space="preserve">Le/la secrétaire a déposé publiquement le présent règlement </w:t>
      </w:r>
      <w:r w:rsidR="00AE5E0E">
        <w:rPr>
          <w:lang w:val="fr-CH"/>
        </w:rPr>
        <w:t>au secrétariat</w:t>
      </w:r>
      <w:r w:rsidRPr="007219E0">
        <w:rPr>
          <w:lang w:val="fr-CH"/>
        </w:rPr>
        <w:t xml:space="preserve"> communal du </w:t>
      </w:r>
      <w:r w:rsidRPr="007219E0">
        <w:rPr>
          <w:lang w:val="fr-CH"/>
        </w:rPr>
        <w:sym w:font="Wingdings" w:char="F06E"/>
      </w:r>
      <w:r w:rsidRPr="007219E0">
        <w:rPr>
          <w:lang w:val="fr-CH"/>
        </w:rPr>
        <w:sym w:font="Wingdings" w:char="F06E"/>
      </w:r>
      <w:r w:rsidRPr="007219E0">
        <w:rPr>
          <w:lang w:val="fr-CH"/>
        </w:rPr>
        <w:sym w:font="Wingdings" w:char="F06E"/>
      </w:r>
      <w:r w:rsidRPr="007219E0">
        <w:rPr>
          <w:lang w:val="fr-CH"/>
        </w:rPr>
        <w:t xml:space="preserve"> au </w:t>
      </w:r>
      <w:r w:rsidRPr="007219E0">
        <w:rPr>
          <w:lang w:val="fr-CH"/>
        </w:rPr>
        <w:sym w:font="Wingdings" w:char="F06E"/>
      </w:r>
      <w:r w:rsidRPr="007219E0">
        <w:rPr>
          <w:lang w:val="fr-CH"/>
        </w:rPr>
        <w:sym w:font="Wingdings" w:char="F06E"/>
      </w:r>
      <w:r w:rsidRPr="007219E0">
        <w:rPr>
          <w:lang w:val="fr-CH"/>
        </w:rPr>
        <w:sym w:font="Wingdings" w:char="F06E"/>
      </w:r>
      <w:r w:rsidRPr="007219E0">
        <w:rPr>
          <w:lang w:val="fr-CH"/>
        </w:rPr>
        <w:t xml:space="preserve"> (</w:t>
      </w:r>
      <w:r w:rsidR="00AE5E0E">
        <w:rPr>
          <w:lang w:val="fr-CH"/>
        </w:rPr>
        <w:t>durant</w:t>
      </w:r>
      <w:r w:rsidR="00AE5E0E" w:rsidRPr="007219E0">
        <w:rPr>
          <w:lang w:val="fr-CH"/>
        </w:rPr>
        <w:t xml:space="preserve"> </w:t>
      </w:r>
      <w:r w:rsidRPr="007219E0">
        <w:rPr>
          <w:lang w:val="fr-CH"/>
        </w:rPr>
        <w:t xml:space="preserve">les 30 jours </w:t>
      </w:r>
      <w:r w:rsidR="00AE5E0E">
        <w:rPr>
          <w:lang w:val="fr-CH"/>
        </w:rPr>
        <w:t xml:space="preserve">qui ont </w:t>
      </w:r>
      <w:r w:rsidRPr="007219E0">
        <w:rPr>
          <w:lang w:val="fr-CH"/>
        </w:rPr>
        <w:t>précéd</w:t>
      </w:r>
      <w:r w:rsidR="00AE5E0E">
        <w:rPr>
          <w:lang w:val="fr-CH"/>
        </w:rPr>
        <w:t>é</w:t>
      </w:r>
      <w:r w:rsidRPr="007219E0">
        <w:rPr>
          <w:lang w:val="fr-CH"/>
        </w:rPr>
        <w:t xml:space="preserve"> la décision de l'assemblée). Il/elle a </w:t>
      </w:r>
      <w:r w:rsidR="00AE5E0E">
        <w:rPr>
          <w:lang w:val="fr-CH"/>
        </w:rPr>
        <w:t>annoncé</w:t>
      </w:r>
      <w:r w:rsidRPr="007219E0">
        <w:rPr>
          <w:lang w:val="fr-CH"/>
        </w:rPr>
        <w:t xml:space="preserve"> le dépôt public dans l</w:t>
      </w:r>
      <w:r w:rsidR="00A2629F">
        <w:rPr>
          <w:lang w:val="fr-CH"/>
        </w:rPr>
        <w:t>’organe de publication officiel</w:t>
      </w:r>
      <w:r w:rsidR="00B051CA">
        <w:rPr>
          <w:lang w:val="fr-CH"/>
        </w:rPr>
        <w:t xml:space="preserve"> de la commune</w:t>
      </w:r>
      <w:r w:rsidR="00A2629F">
        <w:rPr>
          <w:lang w:val="fr-CH"/>
        </w:rPr>
        <w:t xml:space="preserve"> le</w:t>
      </w:r>
      <w:r w:rsidRPr="007219E0">
        <w:rPr>
          <w:lang w:val="fr-CH"/>
        </w:rPr>
        <w:t xml:space="preserve"> </w:t>
      </w:r>
      <w:r w:rsidRPr="007219E0">
        <w:rPr>
          <w:lang w:val="fr-CH"/>
        </w:rPr>
        <w:sym w:font="Wingdings" w:char="F06E"/>
      </w:r>
      <w:r w:rsidRPr="007219E0">
        <w:rPr>
          <w:lang w:val="fr-CH"/>
        </w:rPr>
        <w:sym w:font="Wingdings" w:char="F06E"/>
      </w:r>
      <w:r w:rsidRPr="007219E0">
        <w:rPr>
          <w:lang w:val="fr-CH"/>
        </w:rPr>
        <w:sym w:font="Wingdings" w:char="F06E"/>
      </w:r>
      <w:r w:rsidRPr="007219E0">
        <w:rPr>
          <w:lang w:val="fr-CH"/>
        </w:rPr>
        <w:t>.</w:t>
      </w:r>
    </w:p>
    <w:p w:rsidR="00E47A90" w:rsidRPr="007219E0" w:rsidRDefault="00E47A90" w:rsidP="00E47A90">
      <w:pPr>
        <w:rPr>
          <w:lang w:val="fr-CH"/>
        </w:rPr>
      </w:pPr>
    </w:p>
    <w:p w:rsidR="00E47A90" w:rsidRPr="007219E0" w:rsidRDefault="00E47A90" w:rsidP="00E47A90">
      <w:pPr>
        <w:rPr>
          <w:lang w:val="fr-CH"/>
        </w:rPr>
      </w:pPr>
    </w:p>
    <w:p w:rsidR="00E47A90" w:rsidRPr="007219E0" w:rsidRDefault="00E47A90" w:rsidP="00E47A90">
      <w:pPr>
        <w:pStyle w:val="Kopfzeile"/>
        <w:tabs>
          <w:tab w:val="clear" w:pos="4536"/>
          <w:tab w:val="clear" w:pos="9072"/>
          <w:tab w:val="left" w:pos="3402"/>
          <w:tab w:val="left" w:pos="6521"/>
        </w:tabs>
        <w:rPr>
          <w:lang w:val="fr-CH"/>
        </w:rPr>
      </w:pPr>
      <w:r w:rsidRPr="007219E0">
        <w:rPr>
          <w:lang w:val="fr-CH"/>
        </w:rPr>
        <w:sym w:font="Wingdings" w:char="F06E"/>
      </w:r>
      <w:r w:rsidRPr="007219E0">
        <w:rPr>
          <w:lang w:val="fr-CH"/>
        </w:rPr>
        <w:sym w:font="Wingdings" w:char="F06E"/>
      </w:r>
      <w:r w:rsidRPr="007219E0">
        <w:rPr>
          <w:lang w:val="fr-CH"/>
        </w:rPr>
        <w:sym w:font="Wingdings" w:char="F06E"/>
      </w:r>
      <w:r w:rsidRPr="007219E0">
        <w:rPr>
          <w:lang w:val="fr-CH"/>
        </w:rPr>
        <w:t xml:space="preserve">, le </w:t>
      </w:r>
      <w:r w:rsidRPr="007219E0">
        <w:rPr>
          <w:lang w:val="fr-CH"/>
        </w:rPr>
        <w:sym w:font="Wingdings" w:char="F06E"/>
      </w:r>
      <w:r w:rsidRPr="007219E0">
        <w:rPr>
          <w:lang w:val="fr-CH"/>
        </w:rPr>
        <w:sym w:font="Wingdings" w:char="F06E"/>
      </w:r>
      <w:r w:rsidRPr="007219E0">
        <w:rPr>
          <w:lang w:val="fr-CH"/>
        </w:rPr>
        <w:sym w:font="Wingdings" w:char="F06E"/>
      </w:r>
      <w:r w:rsidRPr="007219E0">
        <w:rPr>
          <w:lang w:val="fr-CH"/>
        </w:rPr>
        <w:tab/>
        <w:t>Le/la secrétaire</w:t>
      </w:r>
      <w:r w:rsidR="003428B3" w:rsidRPr="00EB7941">
        <w:rPr>
          <w:color w:val="000000"/>
          <w:w w:val="50"/>
          <w:lang w:val="fr-CH"/>
        </w:rPr>
        <w:t> </w:t>
      </w:r>
      <w:r w:rsidRPr="007219E0">
        <w:rPr>
          <w:lang w:val="fr-CH"/>
        </w:rPr>
        <w:t>:</w:t>
      </w:r>
    </w:p>
    <w:p w:rsidR="00E47A90" w:rsidRPr="007219E0" w:rsidRDefault="00E47A90" w:rsidP="00E47A90">
      <w:pPr>
        <w:pStyle w:val="Listenabsatz"/>
        <w:rPr>
          <w:lang w:val="fr-CH"/>
        </w:rPr>
      </w:pPr>
    </w:p>
    <w:p w:rsidR="00E47A90" w:rsidRPr="007219E0" w:rsidRDefault="00E47A90" w:rsidP="00E47A90">
      <w:pPr>
        <w:pStyle w:val="Kopfzeile"/>
        <w:tabs>
          <w:tab w:val="clear" w:pos="4536"/>
          <w:tab w:val="clear" w:pos="9072"/>
          <w:tab w:val="left" w:pos="3402"/>
          <w:tab w:val="left" w:pos="6521"/>
        </w:tabs>
        <w:rPr>
          <w:lang w:val="fr-CH"/>
        </w:rPr>
      </w:pPr>
    </w:p>
    <w:p w:rsidR="00E47A90" w:rsidRPr="007219E0" w:rsidRDefault="00E47A90" w:rsidP="00E47A90">
      <w:pPr>
        <w:pStyle w:val="Kopfzeile"/>
        <w:tabs>
          <w:tab w:val="clear" w:pos="4536"/>
          <w:tab w:val="clear" w:pos="9072"/>
          <w:tab w:val="left" w:pos="3402"/>
          <w:tab w:val="left" w:pos="5812"/>
          <w:tab w:val="left" w:pos="6521"/>
          <w:tab w:val="left" w:pos="8931"/>
        </w:tabs>
        <w:rPr>
          <w:u w:val="single"/>
          <w:lang w:val="fr-CH"/>
        </w:rPr>
      </w:pPr>
      <w:r w:rsidRPr="007219E0">
        <w:rPr>
          <w:lang w:val="fr-CH"/>
        </w:rPr>
        <w:tab/>
      </w:r>
      <w:r w:rsidRPr="007219E0">
        <w:rPr>
          <w:u w:val="single"/>
          <w:lang w:val="fr-CH"/>
        </w:rPr>
        <w:tab/>
      </w:r>
    </w:p>
    <w:p w:rsidR="00E47A90" w:rsidRPr="007219E0" w:rsidRDefault="00E47A90" w:rsidP="00E47A90">
      <w:pPr>
        <w:rPr>
          <w:lang w:val="fr-CH"/>
        </w:rPr>
      </w:pPr>
    </w:p>
    <w:p w:rsidR="00E47A90" w:rsidRPr="007219E0" w:rsidRDefault="00E47A90" w:rsidP="00E47A90">
      <w:pPr>
        <w:rPr>
          <w:lang w:val="fr-CH"/>
        </w:rPr>
      </w:pPr>
    </w:p>
    <w:p w:rsidR="00AF1334" w:rsidRDefault="00AF1334"/>
    <w:p w:rsidR="00AF1334" w:rsidRDefault="00AF1334" w:rsidP="00AF1334"/>
    <w:sectPr w:rsidR="00AF13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021" w:right="1134" w:bottom="1021" w:left="1418" w:header="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7A53" w:rsidRDefault="00107A53">
      <w:r>
        <w:separator/>
      </w:r>
    </w:p>
  </w:endnote>
  <w:endnote w:type="continuationSeparator" w:id="0">
    <w:p w:rsidR="00107A53" w:rsidRDefault="00107A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79F" w:rsidRDefault="00ED779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79F" w:rsidRDefault="00ED779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8C4" w:rsidRPr="00B07B2D" w:rsidRDefault="00D818C4">
    <w:pPr>
      <w:pStyle w:val="Fuzeile"/>
      <w:tabs>
        <w:tab w:val="clear" w:pos="4536"/>
      </w:tabs>
      <w:rPr>
        <w:sz w:val="16"/>
        <w:lang w:val="de-CH"/>
      </w:rPr>
    </w:pPr>
    <w:r>
      <w:rPr>
        <w:sz w:val="12"/>
      </w:rPr>
      <w:fldChar w:fldCharType="begin"/>
    </w:r>
    <w:r w:rsidRPr="00B07B2D">
      <w:rPr>
        <w:sz w:val="12"/>
        <w:lang w:val="de-CH"/>
      </w:rPr>
      <w:instrText xml:space="preserve"> FILENAME \p  \* MERGEFORMAT </w:instrText>
    </w:r>
    <w:r>
      <w:rPr>
        <w:sz w:val="12"/>
      </w:rPr>
      <w:fldChar w:fldCharType="separate"/>
    </w:r>
    <w:r w:rsidR="001E0276">
      <w:rPr>
        <w:noProof/>
        <w:sz w:val="12"/>
        <w:lang w:val="de-CH"/>
      </w:rPr>
      <w:t>Q:\DS\Ablage\Traductions\AFFCOM\Finances\MCH2\Musterregelement - Nichtauflösung-längerer Zeitraum NBR_fr.docx</w:t>
    </w:r>
    <w:r>
      <w:rPr>
        <w:sz w:val="12"/>
      </w:rPr>
      <w:fldChar w:fldCharType="end"/>
    </w:r>
    <w:r w:rsidRPr="00B07B2D">
      <w:rPr>
        <w:sz w:val="16"/>
        <w:lang w:val="de-CH"/>
      </w:rPr>
      <w:tab/>
    </w:r>
    <w:r w:rsidRPr="00B07B2D">
      <w:rPr>
        <w:sz w:val="18"/>
        <w:lang w:val="de-CH"/>
      </w:rPr>
      <w:t xml:space="preserve">Seite </w:t>
    </w:r>
    <w:r>
      <w:rPr>
        <w:rStyle w:val="Seitenzahl"/>
        <w:sz w:val="18"/>
      </w:rPr>
      <w:fldChar w:fldCharType="begin"/>
    </w:r>
    <w:r w:rsidRPr="00B07B2D">
      <w:rPr>
        <w:rStyle w:val="Seitenzahl"/>
        <w:sz w:val="18"/>
        <w:lang w:val="de-CH"/>
      </w:rPr>
      <w:instrText xml:space="preserve"> PAGE </w:instrText>
    </w:r>
    <w:r>
      <w:rPr>
        <w:rStyle w:val="Seitenzahl"/>
        <w:sz w:val="18"/>
      </w:rPr>
      <w:fldChar w:fldCharType="separate"/>
    </w:r>
    <w:r w:rsidRPr="00B07B2D">
      <w:rPr>
        <w:rStyle w:val="Seitenzahl"/>
        <w:noProof/>
        <w:sz w:val="18"/>
        <w:lang w:val="de-CH"/>
      </w:rPr>
      <w:t>1</w:t>
    </w:r>
    <w:r>
      <w:rPr>
        <w:rStyle w:val="Seitenzah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7A53" w:rsidRDefault="00107A53">
      <w:r>
        <w:separator/>
      </w:r>
    </w:p>
  </w:footnote>
  <w:footnote w:type="continuationSeparator" w:id="0">
    <w:p w:rsidR="00107A53" w:rsidRDefault="00107A53">
      <w:r>
        <w:continuationSeparator/>
      </w:r>
    </w:p>
  </w:footnote>
  <w:footnote w:id="1">
    <w:p w:rsidR="008D02FB" w:rsidRDefault="008D02FB" w:rsidP="008D02FB">
      <w:pPr>
        <w:pStyle w:val="Funotentext"/>
        <w:tabs>
          <w:tab w:val="left" w:pos="284"/>
        </w:tabs>
        <w:rPr>
          <w:sz w:val="16"/>
        </w:rPr>
      </w:pPr>
      <w:r>
        <w:rPr>
          <w:rStyle w:val="Funotenzeichen"/>
          <w:sz w:val="16"/>
        </w:rPr>
        <w:footnoteRef/>
      </w:r>
      <w:r>
        <w:rPr>
          <w:sz w:val="16"/>
        </w:rPr>
        <w:t xml:space="preserve"> RSB 170.111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79F" w:rsidRDefault="00ED779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79F" w:rsidRDefault="00ED779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79F" w:rsidRDefault="00ED779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D5F5F"/>
    <w:multiLevelType w:val="hybridMultilevel"/>
    <w:tmpl w:val="04EC54A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F96663"/>
    <w:multiLevelType w:val="hybridMultilevel"/>
    <w:tmpl w:val="49B40E5A"/>
    <w:lvl w:ilvl="0" w:tplc="82A46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CE9"/>
    <w:rsid w:val="00017B37"/>
    <w:rsid w:val="0004504E"/>
    <w:rsid w:val="0006508E"/>
    <w:rsid w:val="0006618F"/>
    <w:rsid w:val="00086D60"/>
    <w:rsid w:val="000B7776"/>
    <w:rsid w:val="000C680A"/>
    <w:rsid w:val="000C75E1"/>
    <w:rsid w:val="000D7899"/>
    <w:rsid w:val="000D7905"/>
    <w:rsid w:val="000E1FC2"/>
    <w:rsid w:val="00107A53"/>
    <w:rsid w:val="00111617"/>
    <w:rsid w:val="001130ED"/>
    <w:rsid w:val="001170C7"/>
    <w:rsid w:val="001371BA"/>
    <w:rsid w:val="00142F38"/>
    <w:rsid w:val="001A6DA9"/>
    <w:rsid w:val="001B383D"/>
    <w:rsid w:val="001D179D"/>
    <w:rsid w:val="001E0276"/>
    <w:rsid w:val="0020363D"/>
    <w:rsid w:val="002168FD"/>
    <w:rsid w:val="00223A10"/>
    <w:rsid w:val="00235F85"/>
    <w:rsid w:val="00241D1E"/>
    <w:rsid w:val="00251496"/>
    <w:rsid w:val="00252BD8"/>
    <w:rsid w:val="002B4838"/>
    <w:rsid w:val="002B5C7A"/>
    <w:rsid w:val="002F2911"/>
    <w:rsid w:val="002F4D41"/>
    <w:rsid w:val="002F7021"/>
    <w:rsid w:val="002F74B9"/>
    <w:rsid w:val="00326DAD"/>
    <w:rsid w:val="003428B3"/>
    <w:rsid w:val="003C2728"/>
    <w:rsid w:val="003D0B1D"/>
    <w:rsid w:val="003D2D61"/>
    <w:rsid w:val="003F5C37"/>
    <w:rsid w:val="0041492F"/>
    <w:rsid w:val="00423348"/>
    <w:rsid w:val="00434275"/>
    <w:rsid w:val="0044156D"/>
    <w:rsid w:val="00491642"/>
    <w:rsid w:val="004B4250"/>
    <w:rsid w:val="004C01E6"/>
    <w:rsid w:val="004E35DC"/>
    <w:rsid w:val="004E422B"/>
    <w:rsid w:val="00513765"/>
    <w:rsid w:val="0054164E"/>
    <w:rsid w:val="00545F1F"/>
    <w:rsid w:val="0056080F"/>
    <w:rsid w:val="005612E6"/>
    <w:rsid w:val="00562018"/>
    <w:rsid w:val="00574CE9"/>
    <w:rsid w:val="005A24A8"/>
    <w:rsid w:val="005C6E1F"/>
    <w:rsid w:val="005E01A1"/>
    <w:rsid w:val="005E2860"/>
    <w:rsid w:val="00612062"/>
    <w:rsid w:val="006159CF"/>
    <w:rsid w:val="006237C0"/>
    <w:rsid w:val="006552F3"/>
    <w:rsid w:val="00697999"/>
    <w:rsid w:val="006F1030"/>
    <w:rsid w:val="0070697C"/>
    <w:rsid w:val="0071586F"/>
    <w:rsid w:val="00736A56"/>
    <w:rsid w:val="0074274F"/>
    <w:rsid w:val="00745876"/>
    <w:rsid w:val="00751516"/>
    <w:rsid w:val="00762754"/>
    <w:rsid w:val="007771F1"/>
    <w:rsid w:val="007879E5"/>
    <w:rsid w:val="0079238E"/>
    <w:rsid w:val="007A3143"/>
    <w:rsid w:val="007B09C9"/>
    <w:rsid w:val="007C161A"/>
    <w:rsid w:val="007C2285"/>
    <w:rsid w:val="00806E8A"/>
    <w:rsid w:val="00816B05"/>
    <w:rsid w:val="00822648"/>
    <w:rsid w:val="008231C5"/>
    <w:rsid w:val="00833A74"/>
    <w:rsid w:val="00840B66"/>
    <w:rsid w:val="0084363A"/>
    <w:rsid w:val="00857827"/>
    <w:rsid w:val="0088437A"/>
    <w:rsid w:val="008A3EB5"/>
    <w:rsid w:val="008B3E44"/>
    <w:rsid w:val="008D02FB"/>
    <w:rsid w:val="00920E27"/>
    <w:rsid w:val="00957F9E"/>
    <w:rsid w:val="00981C17"/>
    <w:rsid w:val="009932E5"/>
    <w:rsid w:val="009A68C5"/>
    <w:rsid w:val="00A0115C"/>
    <w:rsid w:val="00A151AD"/>
    <w:rsid w:val="00A16FE0"/>
    <w:rsid w:val="00A2629F"/>
    <w:rsid w:val="00A51AD1"/>
    <w:rsid w:val="00A5319F"/>
    <w:rsid w:val="00A76A95"/>
    <w:rsid w:val="00A938CE"/>
    <w:rsid w:val="00AB39EF"/>
    <w:rsid w:val="00AE5E0E"/>
    <w:rsid w:val="00AF0C68"/>
    <w:rsid w:val="00AF1334"/>
    <w:rsid w:val="00B051CA"/>
    <w:rsid w:val="00B07B2D"/>
    <w:rsid w:val="00B10791"/>
    <w:rsid w:val="00B17E18"/>
    <w:rsid w:val="00B427E0"/>
    <w:rsid w:val="00B4363E"/>
    <w:rsid w:val="00B458B5"/>
    <w:rsid w:val="00B619FB"/>
    <w:rsid w:val="00BB3097"/>
    <w:rsid w:val="00BC1760"/>
    <w:rsid w:val="00BC4DAB"/>
    <w:rsid w:val="00BC7573"/>
    <w:rsid w:val="00BE15D4"/>
    <w:rsid w:val="00BF36CC"/>
    <w:rsid w:val="00C166D1"/>
    <w:rsid w:val="00C3766E"/>
    <w:rsid w:val="00C4485C"/>
    <w:rsid w:val="00C73E4A"/>
    <w:rsid w:val="00CA2E6D"/>
    <w:rsid w:val="00CC1DB9"/>
    <w:rsid w:val="00CE633F"/>
    <w:rsid w:val="00D27B5D"/>
    <w:rsid w:val="00D3258D"/>
    <w:rsid w:val="00D4357B"/>
    <w:rsid w:val="00D75563"/>
    <w:rsid w:val="00D818C4"/>
    <w:rsid w:val="00D81A19"/>
    <w:rsid w:val="00DC0A0B"/>
    <w:rsid w:val="00DC5809"/>
    <w:rsid w:val="00DD2C05"/>
    <w:rsid w:val="00DD435E"/>
    <w:rsid w:val="00DE3A82"/>
    <w:rsid w:val="00DE524B"/>
    <w:rsid w:val="00DF18F0"/>
    <w:rsid w:val="00DF776F"/>
    <w:rsid w:val="00E46C53"/>
    <w:rsid w:val="00E47A90"/>
    <w:rsid w:val="00E5320E"/>
    <w:rsid w:val="00E545D9"/>
    <w:rsid w:val="00E63D6C"/>
    <w:rsid w:val="00EA4EEC"/>
    <w:rsid w:val="00EB0EF4"/>
    <w:rsid w:val="00EC0857"/>
    <w:rsid w:val="00ED25BF"/>
    <w:rsid w:val="00ED4822"/>
    <w:rsid w:val="00ED779F"/>
    <w:rsid w:val="00EF4221"/>
    <w:rsid w:val="00F0658E"/>
    <w:rsid w:val="00F328FB"/>
    <w:rsid w:val="00F357C6"/>
    <w:rsid w:val="00F47223"/>
    <w:rsid w:val="00F77C28"/>
    <w:rsid w:val="00F83DB9"/>
    <w:rsid w:val="00FB6DF3"/>
    <w:rsid w:val="00FE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5:docId w15:val="{98CCEEB1-7600-48AA-9A12-1DC4A47CF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213"/>
      </w:tabs>
      <w:outlineLvl w:val="1"/>
    </w:pPr>
    <w:rPr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notentext">
    <w:name w:val="footnote text"/>
    <w:basedOn w:val="Standard"/>
    <w:link w:val="FunotentextZchn"/>
    <w:rPr>
      <w:sz w:val="20"/>
    </w:rPr>
  </w:style>
  <w:style w:type="character" w:styleId="Funotenzeichen">
    <w:name w:val="footnote reference"/>
    <w:rPr>
      <w:vertAlign w:val="superscript"/>
    </w:rPr>
  </w:style>
  <w:style w:type="paragraph" w:styleId="Sprechblasentext">
    <w:name w:val="Balloon Text"/>
    <w:basedOn w:val="Standard"/>
    <w:link w:val="SprechblasentextZchn"/>
    <w:rsid w:val="001116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111617"/>
    <w:rPr>
      <w:rFonts w:ascii="Tahoma" w:hAnsi="Tahoma" w:cs="Tahoma"/>
      <w:sz w:val="16"/>
      <w:szCs w:val="16"/>
      <w:lang w:val="de-DE" w:eastAsia="en-US"/>
    </w:rPr>
  </w:style>
  <w:style w:type="paragraph" w:styleId="berarbeitung">
    <w:name w:val="Revision"/>
    <w:hidden/>
    <w:uiPriority w:val="99"/>
    <w:semiHidden/>
    <w:rsid w:val="00EF4221"/>
    <w:rPr>
      <w:rFonts w:ascii="Arial" w:hAnsi="Arial"/>
      <w:sz w:val="22"/>
      <w:lang w:val="de-DE" w:eastAsia="en-US"/>
    </w:rPr>
  </w:style>
  <w:style w:type="paragraph" w:customStyle="1" w:styleId="Marginale">
    <w:name w:val="Marginale"/>
    <w:basedOn w:val="Standard"/>
    <w:next w:val="Standard"/>
    <w:rsid w:val="00B619FB"/>
    <w:rPr>
      <w:sz w:val="20"/>
    </w:rPr>
  </w:style>
  <w:style w:type="character" w:customStyle="1" w:styleId="FunotentextZchn">
    <w:name w:val="Fußnotentext Zchn"/>
    <w:link w:val="Funotentext"/>
    <w:rsid w:val="0056080F"/>
    <w:rPr>
      <w:rFonts w:ascii="Arial" w:hAnsi="Arial"/>
      <w:lang w:val="de-DE" w:eastAsia="en-US"/>
    </w:rPr>
  </w:style>
  <w:style w:type="paragraph" w:styleId="Listenabsatz">
    <w:name w:val="List Paragraph"/>
    <w:basedOn w:val="Standard"/>
    <w:uiPriority w:val="34"/>
    <w:qFormat/>
    <w:rsid w:val="00ED4822"/>
    <w:pPr>
      <w:ind w:left="720"/>
      <w:contextualSpacing/>
    </w:pPr>
  </w:style>
  <w:style w:type="character" w:styleId="Kommentarzeichen">
    <w:name w:val="annotation reference"/>
    <w:rsid w:val="0088437A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8437A"/>
    <w:rPr>
      <w:sz w:val="20"/>
    </w:rPr>
  </w:style>
  <w:style w:type="character" w:customStyle="1" w:styleId="KommentartextZchn">
    <w:name w:val="Kommentartext Zchn"/>
    <w:link w:val="Kommentartext"/>
    <w:rsid w:val="0088437A"/>
    <w:rPr>
      <w:rFonts w:ascii="Arial" w:hAnsi="Arial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88437A"/>
    <w:rPr>
      <w:b/>
      <w:bCs/>
    </w:rPr>
  </w:style>
  <w:style w:type="character" w:customStyle="1" w:styleId="KommentarthemaZchn">
    <w:name w:val="Kommentarthema Zchn"/>
    <w:link w:val="Kommentarthema"/>
    <w:rsid w:val="0088437A"/>
    <w:rPr>
      <w:rFonts w:ascii="Arial" w:hAnsi="Arial"/>
      <w:b/>
      <w:bCs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0E720-2C1A-48B2-9082-AA2E03957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1376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Musterreglement für die Spezialfinanzierung Werterhalt Liegenschaften des Finanzvermögens HRM2</vt:lpstr>
      <vt:lpstr>Musterreglement für die Spezialfinanzierung Werterhalt Liegenschaften des Finanzvermögens HRM2</vt:lpstr>
    </vt:vector>
  </TitlesOfParts>
  <Manager>Jelena Ristic</Manager>
  <Company>JGK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 type concernant la dissolution de la réserve liée à la réévaluation du patrimoine financier</dc:title>
  <dc:subject>Musterreglement für die Spezialfinanzierung Werterhalt Liegenschaften des Finanzvermögens</dc:subject>
  <dc:creator/>
  <cp:keywords/>
  <dc:description/>
  <cp:lastModifiedBy>Zurbuchen Kathrin, DIJ-AGR-GeM</cp:lastModifiedBy>
  <cp:revision>6</cp:revision>
  <cp:lastPrinted>2017-10-30T11:57:00Z</cp:lastPrinted>
  <dcterms:created xsi:type="dcterms:W3CDTF">2023-03-30T08:12:00Z</dcterms:created>
  <dcterms:modified xsi:type="dcterms:W3CDTF">2023-06-27T07:37:00Z</dcterms:modified>
  <cp:category>Gemeinden</cp:category>
</cp:coreProperties>
</file>