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279" w:rsidRPr="00602C61" w:rsidRDefault="00845279">
      <w:pPr>
        <w:pStyle w:val="En-tte"/>
        <w:tabs>
          <w:tab w:val="clear" w:pos="4536"/>
          <w:tab w:val="clear" w:pos="9072"/>
        </w:tabs>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pStyle w:val="GrosserTitel"/>
        <w:rPr>
          <w:szCs w:val="52"/>
          <w:lang w:val="fr-CH"/>
        </w:rPr>
      </w:pPr>
    </w:p>
    <w:p w:rsidR="0076287F" w:rsidRPr="00602C61" w:rsidRDefault="0076287F" w:rsidP="00290B52">
      <w:pPr>
        <w:pStyle w:val="GrosserTitel"/>
        <w:spacing w:line="360" w:lineRule="auto"/>
        <w:rPr>
          <w:sz w:val="56"/>
          <w:szCs w:val="56"/>
          <w:lang w:val="fr-CH"/>
        </w:rPr>
      </w:pPr>
      <w:r w:rsidRPr="00602C61">
        <w:rPr>
          <w:sz w:val="56"/>
          <w:szCs w:val="56"/>
          <w:lang w:val="fr-CH"/>
        </w:rPr>
        <w:t xml:space="preserve">Ordonnance </w:t>
      </w:r>
    </w:p>
    <w:p w:rsidR="00BE3B05" w:rsidRPr="00602C61" w:rsidRDefault="0076287F" w:rsidP="0076287F">
      <w:pPr>
        <w:pStyle w:val="GrosserTitel"/>
        <w:spacing w:line="360" w:lineRule="auto"/>
        <w:rPr>
          <w:sz w:val="56"/>
          <w:szCs w:val="56"/>
          <w:lang w:val="fr-CH"/>
        </w:rPr>
      </w:pPr>
      <w:proofErr w:type="gramStart"/>
      <w:r w:rsidRPr="00602C61">
        <w:rPr>
          <w:sz w:val="56"/>
          <w:szCs w:val="56"/>
          <w:lang w:val="fr-CH"/>
        </w:rPr>
        <w:t>complétant</w:t>
      </w:r>
      <w:proofErr w:type="gramEnd"/>
      <w:r w:rsidRPr="00602C61">
        <w:rPr>
          <w:sz w:val="56"/>
          <w:szCs w:val="56"/>
          <w:lang w:val="fr-CH"/>
        </w:rPr>
        <w:t xml:space="preserve"> le droit cantonal en matière de protection des données</w:t>
      </w:r>
      <w:r w:rsidRPr="00602C61">
        <w:rPr>
          <w:b w:val="0"/>
          <w:sz w:val="56"/>
          <w:szCs w:val="56"/>
          <w:lang w:val="fr-CH"/>
        </w:rPr>
        <w:t xml:space="preserve"> </w:t>
      </w:r>
    </w:p>
    <w:p w:rsidR="00290B52" w:rsidRPr="00602C61" w:rsidRDefault="0076287F" w:rsidP="0029418C">
      <w:pPr>
        <w:pStyle w:val="GrosserTitel"/>
        <w:spacing w:line="360" w:lineRule="auto"/>
        <w:rPr>
          <w:sz w:val="56"/>
          <w:szCs w:val="56"/>
          <w:lang w:val="fr-CH"/>
        </w:rPr>
      </w:pPr>
      <w:proofErr w:type="gramStart"/>
      <w:r w:rsidRPr="00602C61">
        <w:rPr>
          <w:sz w:val="56"/>
          <w:szCs w:val="56"/>
          <w:lang w:val="fr-CH"/>
        </w:rPr>
        <w:t>et</w:t>
      </w:r>
      <w:proofErr w:type="gramEnd"/>
      <w:r w:rsidRPr="00602C61">
        <w:rPr>
          <w:sz w:val="56"/>
          <w:szCs w:val="56"/>
          <w:lang w:val="fr-CH"/>
        </w:rPr>
        <w:t xml:space="preserve"> concernant la communication</w:t>
      </w:r>
      <w:r w:rsidR="0029418C" w:rsidRPr="00602C61">
        <w:rPr>
          <w:sz w:val="56"/>
          <w:szCs w:val="56"/>
          <w:lang w:val="fr-CH"/>
        </w:rPr>
        <w:t xml:space="preserve"> </w:t>
      </w:r>
      <w:r w:rsidRPr="00602C61">
        <w:rPr>
          <w:sz w:val="56"/>
          <w:szCs w:val="56"/>
          <w:lang w:val="fr-CH"/>
        </w:rPr>
        <w:t>sur Internet</w:t>
      </w:r>
    </w:p>
    <w:p w:rsidR="00893C81" w:rsidRPr="00602C61" w:rsidRDefault="0076287F" w:rsidP="00290B52">
      <w:pPr>
        <w:pStyle w:val="GrosserTitel"/>
        <w:spacing w:line="360" w:lineRule="auto"/>
        <w:rPr>
          <w:sz w:val="56"/>
          <w:szCs w:val="56"/>
          <w:lang w:val="fr-CH"/>
        </w:rPr>
      </w:pPr>
      <w:proofErr w:type="gramStart"/>
      <w:r w:rsidRPr="00602C61">
        <w:rPr>
          <w:sz w:val="56"/>
          <w:szCs w:val="56"/>
          <w:lang w:val="fr-CH"/>
        </w:rPr>
        <w:t>d’informations</w:t>
      </w:r>
      <w:proofErr w:type="gramEnd"/>
      <w:r w:rsidRPr="00602C61">
        <w:rPr>
          <w:sz w:val="56"/>
          <w:szCs w:val="56"/>
          <w:lang w:val="fr-CH"/>
        </w:rPr>
        <w:t xml:space="preserve"> à caractère public</w:t>
      </w:r>
    </w:p>
    <w:p w:rsidR="00442D05" w:rsidRPr="00602C61" w:rsidRDefault="00442D05" w:rsidP="00442D05">
      <w:pPr>
        <w:rPr>
          <w:lang w:val="fr-CH"/>
        </w:rPr>
      </w:pPr>
    </w:p>
    <w:p w:rsidR="00442D05" w:rsidRPr="00602C61" w:rsidRDefault="00442D05" w:rsidP="00442D05">
      <w:pPr>
        <w:rPr>
          <w:lang w:val="fr-CH"/>
        </w:rPr>
      </w:pPr>
    </w:p>
    <w:p w:rsidR="00442D05" w:rsidRPr="00602C61" w:rsidRDefault="00442D05" w:rsidP="00442D05">
      <w:pPr>
        <w:rPr>
          <w:lang w:val="fr-CH"/>
        </w:rPr>
      </w:pPr>
    </w:p>
    <w:p w:rsidR="00442D05" w:rsidRPr="00602C61" w:rsidRDefault="00EA18AD" w:rsidP="00442D05">
      <w:pPr>
        <w:jc w:val="center"/>
        <w:rPr>
          <w:sz w:val="28"/>
          <w:szCs w:val="28"/>
          <w:lang w:val="fr-CH"/>
        </w:rPr>
      </w:pPr>
      <w:proofErr w:type="gramStart"/>
      <w:r w:rsidRPr="00602C61">
        <w:rPr>
          <w:sz w:val="28"/>
          <w:szCs w:val="28"/>
          <w:lang w:val="fr-CH"/>
        </w:rPr>
        <w:t>du</w:t>
      </w:r>
      <w:proofErr w:type="gramEnd"/>
      <w:r w:rsidR="00442D05" w:rsidRPr="00602C61">
        <w:rPr>
          <w:sz w:val="28"/>
          <w:szCs w:val="28"/>
          <w:lang w:val="fr-CH"/>
        </w:rPr>
        <w:t xml:space="preserve"> XX.XX.XXXX</w:t>
      </w: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rsidP="00C307AF">
      <w:pPr>
        <w:jc w:val="center"/>
        <w:rPr>
          <w:lang w:val="fr-CH"/>
        </w:rPr>
      </w:pPr>
    </w:p>
    <w:p w:rsidR="00845279" w:rsidRPr="00602C61" w:rsidRDefault="00845279">
      <w:pPr>
        <w:rPr>
          <w:lang w:val="fr-CH"/>
        </w:rPr>
      </w:pPr>
    </w:p>
    <w:p w:rsidR="00845279" w:rsidRPr="00602C61" w:rsidRDefault="00845279">
      <w:pPr>
        <w:rPr>
          <w:lang w:val="fr-CH"/>
        </w:rPr>
      </w:pPr>
    </w:p>
    <w:p w:rsidR="00845279" w:rsidRPr="00602C61" w:rsidRDefault="00845279">
      <w:pPr>
        <w:rPr>
          <w:lang w:val="fr-CH"/>
        </w:rPr>
      </w:pPr>
    </w:p>
    <w:p w:rsidR="00442D05" w:rsidRPr="00602C61" w:rsidRDefault="00442D05">
      <w:pPr>
        <w:rPr>
          <w:lang w:val="fr-CH"/>
        </w:rPr>
      </w:pPr>
    </w:p>
    <w:p w:rsidR="00442D05" w:rsidRPr="00602C61" w:rsidRDefault="00442D05">
      <w:pPr>
        <w:rPr>
          <w:lang w:val="fr-CH"/>
        </w:rPr>
      </w:pPr>
    </w:p>
    <w:p w:rsidR="00845279" w:rsidRPr="00602C61" w:rsidRDefault="00845279">
      <w:pPr>
        <w:rPr>
          <w:lang w:val="fr-CH"/>
        </w:rPr>
      </w:pPr>
    </w:p>
    <w:p w:rsidR="00290B52" w:rsidRPr="00602C61" w:rsidRDefault="00290B52">
      <w:pPr>
        <w:rPr>
          <w:b/>
          <w:lang w:val="fr-CH"/>
        </w:rPr>
      </w:pPr>
    </w:p>
    <w:p w:rsidR="00290B52" w:rsidRPr="00602C61" w:rsidRDefault="00290B52">
      <w:pPr>
        <w:rPr>
          <w:b/>
          <w:lang w:val="fr-CH"/>
        </w:rPr>
      </w:pPr>
    </w:p>
    <w:p w:rsidR="00845279" w:rsidRPr="00602C61" w:rsidRDefault="00EA18AD">
      <w:pPr>
        <w:rPr>
          <w:b/>
          <w:lang w:val="fr-CH"/>
        </w:rPr>
        <w:sectPr w:rsidR="00845279" w:rsidRPr="00602C61">
          <w:headerReference w:type="default" r:id="rId8"/>
          <w:footerReference w:type="default" r:id="rId9"/>
          <w:footerReference w:type="first" r:id="rId10"/>
          <w:pgSz w:w="11907" w:h="16840" w:code="9"/>
          <w:pgMar w:top="397" w:right="794" w:bottom="1134" w:left="1588" w:header="720" w:footer="907" w:gutter="0"/>
          <w:cols w:space="720"/>
          <w:titlePg/>
        </w:sectPr>
      </w:pPr>
      <w:r w:rsidRPr="00602C61">
        <w:rPr>
          <w:b/>
          <w:lang w:val="fr-CH"/>
        </w:rPr>
        <w:t>Etat</w:t>
      </w:r>
      <w:r w:rsidR="00502FC2" w:rsidRPr="00602C61">
        <w:rPr>
          <w:b/>
          <w:lang w:val="fr-CH"/>
        </w:rPr>
        <w:t xml:space="preserve">: </w:t>
      </w:r>
      <w:r w:rsidR="00E02DB8">
        <w:rPr>
          <w:b/>
          <w:lang w:val="fr-CH"/>
        </w:rPr>
        <w:t>janvier</w:t>
      </w:r>
      <w:r w:rsidR="00BE3B05" w:rsidRPr="00602C61">
        <w:rPr>
          <w:b/>
          <w:lang w:val="fr-CH"/>
        </w:rPr>
        <w:t xml:space="preserve"> 201</w:t>
      </w:r>
      <w:r w:rsidR="00E02DB8">
        <w:rPr>
          <w:b/>
          <w:lang w:val="fr-CH"/>
        </w:rPr>
        <w:t>9</w:t>
      </w:r>
    </w:p>
    <w:p w:rsidR="00845279" w:rsidRPr="00602C61" w:rsidRDefault="00245D42">
      <w:pPr>
        <w:rPr>
          <w:highlight w:val="yellow"/>
          <w:lang w:val="fr-CH"/>
        </w:rPr>
      </w:pPr>
      <w:r w:rsidRPr="00602C61">
        <w:rPr>
          <w:szCs w:val="22"/>
          <w:lang w:val="fr-CH"/>
        </w:rPr>
        <w:lastRenderedPageBreak/>
        <w:t xml:space="preserve">Le/La (organe responsable) de la XXXX édicte, sur la base des articles XX du règlement communal/du règlement d’organisation/du règlement sur la protection des données du XX </w:t>
      </w:r>
      <w:proofErr w:type="spellStart"/>
      <w:r w:rsidRPr="00602C61">
        <w:rPr>
          <w:szCs w:val="22"/>
          <w:lang w:val="fr-CH"/>
        </w:rPr>
        <w:t>XX</w:t>
      </w:r>
      <w:proofErr w:type="spellEnd"/>
      <w:r w:rsidRPr="00602C61">
        <w:rPr>
          <w:szCs w:val="22"/>
          <w:lang w:val="fr-CH"/>
        </w:rPr>
        <w:t xml:space="preserve"> XXXX l’ordonnance ci-après, intitulée</w:t>
      </w:r>
    </w:p>
    <w:p w:rsidR="00442D05" w:rsidRPr="00602C61" w:rsidRDefault="00245D42">
      <w:pPr>
        <w:pStyle w:val="Titre1"/>
        <w:rPr>
          <w:sz w:val="32"/>
          <w:szCs w:val="32"/>
          <w:lang w:val="fr-CH"/>
        </w:rPr>
      </w:pPr>
      <w:bookmarkStart w:id="0" w:name="_Toc228848323"/>
      <w:bookmarkStart w:id="1" w:name="_Toc228848324"/>
      <w:r w:rsidRPr="00602C61">
        <w:rPr>
          <w:sz w:val="32"/>
          <w:szCs w:val="32"/>
          <w:lang w:val="fr-CH"/>
        </w:rPr>
        <w:t xml:space="preserve">Ordonnance complétant le droit cantonal en matière de protection des données et concernant la communication sur Internet d’informations à caractère public </w:t>
      </w:r>
      <w:bookmarkEnd w:id="0"/>
    </w:p>
    <w:p w:rsidR="00AB23E9" w:rsidRPr="00602C61" w:rsidRDefault="00AB23E9" w:rsidP="00AB23E9">
      <w:pPr>
        <w:rPr>
          <w:lang w:val="fr-CH"/>
        </w:rPr>
      </w:pPr>
    </w:p>
    <w:bookmarkEnd w:id="1"/>
    <w:p w:rsidR="00845279" w:rsidRPr="00602C61" w:rsidRDefault="00245D42">
      <w:pPr>
        <w:pStyle w:val="Titre1"/>
        <w:rPr>
          <w:lang w:val="fr-CH"/>
        </w:rPr>
      </w:pPr>
      <w:r w:rsidRPr="00602C61">
        <w:rPr>
          <w:lang w:val="fr-CH"/>
        </w:rPr>
        <w:t>Dispositions générales</w:t>
      </w:r>
    </w:p>
    <w:p w:rsidR="00845279" w:rsidRPr="00602C61" w:rsidRDefault="00845279">
      <w:pPr>
        <w:rPr>
          <w:lang w:val="fr-CH"/>
        </w:rPr>
      </w:pPr>
    </w:p>
    <w:p w:rsidR="00AE539D" w:rsidRPr="00602C61" w:rsidRDefault="00AE539D">
      <w:pPr>
        <w:rPr>
          <w:lang w:val="fr-CH"/>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45279" w:rsidRPr="00E02DB8">
        <w:tc>
          <w:tcPr>
            <w:tcW w:w="2338" w:type="dxa"/>
            <w:tcBorders>
              <w:top w:val="nil"/>
              <w:left w:val="nil"/>
              <w:bottom w:val="nil"/>
              <w:right w:val="nil"/>
            </w:tcBorders>
          </w:tcPr>
          <w:p w:rsidR="00845279" w:rsidRPr="00602C61" w:rsidRDefault="00245D42" w:rsidP="00245D42">
            <w:pPr>
              <w:pStyle w:val="Marginale"/>
              <w:rPr>
                <w:highlight w:val="cyan"/>
                <w:lang w:val="fr-CH"/>
              </w:rPr>
            </w:pPr>
            <w:r w:rsidRPr="00602C61">
              <w:rPr>
                <w:lang w:val="fr-CH"/>
              </w:rPr>
              <w:t>Objet</w:t>
            </w:r>
            <w:r w:rsidR="00B52948" w:rsidRPr="00602C61">
              <w:rPr>
                <w:lang w:val="fr-CH"/>
              </w:rPr>
              <w:t>/</w:t>
            </w:r>
            <w:r w:rsidRPr="00602C61">
              <w:rPr>
                <w:lang w:val="fr-CH"/>
              </w:rPr>
              <w:t>but</w:t>
            </w:r>
          </w:p>
        </w:tc>
        <w:tc>
          <w:tcPr>
            <w:tcW w:w="7326" w:type="dxa"/>
            <w:tcBorders>
              <w:top w:val="nil"/>
              <w:left w:val="nil"/>
              <w:bottom w:val="nil"/>
              <w:right w:val="nil"/>
            </w:tcBorders>
          </w:tcPr>
          <w:p w:rsidR="00845279" w:rsidRPr="00602C61" w:rsidRDefault="00845279" w:rsidP="00D51AAF">
            <w:pPr>
              <w:pStyle w:val="Marginale"/>
              <w:ind w:left="72"/>
              <w:rPr>
                <w:sz w:val="22"/>
                <w:lang w:val="fr-CH"/>
              </w:rPr>
            </w:pPr>
            <w:r w:rsidRPr="00D51AAF">
              <w:rPr>
                <w:b/>
                <w:sz w:val="22"/>
                <w:lang w:val="fr-CH"/>
              </w:rPr>
              <w:t>Art. 1</w:t>
            </w:r>
            <w:r w:rsidRPr="00602C61">
              <w:rPr>
                <w:sz w:val="22"/>
                <w:lang w:val="fr-CH"/>
              </w:rPr>
              <w:t xml:space="preserve"> </w:t>
            </w:r>
            <w:r w:rsidRPr="00602C61">
              <w:rPr>
                <w:sz w:val="22"/>
                <w:vertAlign w:val="superscript"/>
                <w:lang w:val="fr-CH"/>
              </w:rPr>
              <w:t>1</w:t>
            </w:r>
            <w:r w:rsidRPr="00602C61">
              <w:rPr>
                <w:sz w:val="22"/>
                <w:lang w:val="fr-CH"/>
              </w:rPr>
              <w:t xml:space="preserve"> </w:t>
            </w:r>
            <w:r w:rsidR="006F28CA" w:rsidRPr="00602C61">
              <w:rPr>
                <w:sz w:val="22"/>
                <w:szCs w:val="22"/>
                <w:lang w:val="fr-CH"/>
              </w:rPr>
              <w:t>La présente ordonnance</w:t>
            </w:r>
            <w:r w:rsidR="00733BAE" w:rsidRPr="00602C61">
              <w:rPr>
                <w:sz w:val="22"/>
                <w:szCs w:val="22"/>
                <w:lang w:val="fr-CH"/>
              </w:rPr>
              <w:t xml:space="preserve"> </w:t>
            </w:r>
            <w:r w:rsidR="00745059" w:rsidRPr="00602C61">
              <w:rPr>
                <w:sz w:val="22"/>
                <w:szCs w:val="22"/>
                <w:lang w:val="fr-CH"/>
              </w:rPr>
              <w:t>complète les prescriptions applicables aux communes en matière de protection des données</w:t>
            </w:r>
            <w:r w:rsidR="00CB2946" w:rsidRPr="00602C61">
              <w:rPr>
                <w:sz w:val="22"/>
                <w:szCs w:val="22"/>
                <w:lang w:val="fr-CH"/>
              </w:rPr>
              <w:t xml:space="preserve"> </w:t>
            </w:r>
            <w:r w:rsidR="00FA3F69" w:rsidRPr="00602C61">
              <w:rPr>
                <w:sz w:val="22"/>
                <w:szCs w:val="22"/>
                <w:lang w:val="fr-CH"/>
              </w:rPr>
              <w:t xml:space="preserve">dans la mesure nécessaire </w:t>
            </w:r>
            <w:r w:rsidR="00D51AAF">
              <w:rPr>
                <w:sz w:val="22"/>
                <w:szCs w:val="22"/>
                <w:lang w:val="fr-CH"/>
              </w:rPr>
              <w:t>au</w:t>
            </w:r>
            <w:r w:rsidR="00FA3F69" w:rsidRPr="00602C61">
              <w:rPr>
                <w:sz w:val="22"/>
                <w:szCs w:val="22"/>
                <w:lang w:val="fr-CH"/>
              </w:rPr>
              <w:t xml:space="preserve"> traitement et </w:t>
            </w:r>
            <w:r w:rsidR="00D51AAF">
              <w:rPr>
                <w:sz w:val="22"/>
                <w:szCs w:val="22"/>
                <w:lang w:val="fr-CH"/>
              </w:rPr>
              <w:t xml:space="preserve">à </w:t>
            </w:r>
            <w:r w:rsidR="00FA3F69" w:rsidRPr="00602C61">
              <w:rPr>
                <w:sz w:val="22"/>
                <w:szCs w:val="22"/>
                <w:lang w:val="fr-CH"/>
              </w:rPr>
              <w:t xml:space="preserve">la communication des données personnelles de l’espace européen. </w:t>
            </w:r>
            <w:r w:rsidR="006F28CA" w:rsidRPr="00602C61">
              <w:rPr>
                <w:sz w:val="22"/>
                <w:szCs w:val="22"/>
                <w:lang w:val="fr-CH"/>
              </w:rPr>
              <w:t xml:space="preserve">Elle </w:t>
            </w:r>
            <w:r w:rsidR="006F28CA" w:rsidRPr="00602C61">
              <w:rPr>
                <w:sz w:val="22"/>
                <w:lang w:val="fr-CH"/>
              </w:rPr>
              <w:t>réglemente aussi la communication</w:t>
            </w:r>
            <w:r w:rsidR="00D51AAF">
              <w:rPr>
                <w:sz w:val="22"/>
                <w:lang w:val="fr-CH"/>
              </w:rPr>
              <w:t>,</w:t>
            </w:r>
            <w:r w:rsidR="006F28CA" w:rsidRPr="00602C61">
              <w:rPr>
                <w:sz w:val="22"/>
                <w:lang w:val="fr-CH"/>
              </w:rPr>
              <w:t xml:space="preserve"> sur Internet et au moyen de services assimilables à Internet, d’informations qui sont accessibles au public et qui contiennent des données personnelles.</w:t>
            </w:r>
            <w:r w:rsidR="00502D3E" w:rsidRPr="00602C61">
              <w:rPr>
                <w:sz w:val="22"/>
                <w:lang w:val="fr-CH"/>
              </w:rPr>
              <w:t xml:space="preserve"> </w:t>
            </w:r>
          </w:p>
        </w:tc>
      </w:tr>
      <w:tr w:rsidR="00845279" w:rsidRPr="00E02DB8">
        <w:tc>
          <w:tcPr>
            <w:tcW w:w="2338" w:type="dxa"/>
            <w:tcBorders>
              <w:top w:val="nil"/>
              <w:left w:val="nil"/>
              <w:bottom w:val="nil"/>
              <w:right w:val="nil"/>
            </w:tcBorders>
          </w:tcPr>
          <w:p w:rsidR="00845279" w:rsidRPr="00602C61" w:rsidRDefault="00845279">
            <w:pPr>
              <w:pStyle w:val="Marginale"/>
              <w:rPr>
                <w:lang w:val="fr-CH"/>
              </w:rPr>
            </w:pPr>
          </w:p>
        </w:tc>
        <w:tc>
          <w:tcPr>
            <w:tcW w:w="7326" w:type="dxa"/>
            <w:tcBorders>
              <w:top w:val="nil"/>
              <w:left w:val="nil"/>
              <w:bottom w:val="nil"/>
              <w:right w:val="nil"/>
            </w:tcBorders>
          </w:tcPr>
          <w:p w:rsidR="00845279" w:rsidRPr="00602C61" w:rsidRDefault="00845279" w:rsidP="0032424B">
            <w:pPr>
              <w:rPr>
                <w:lang w:val="fr-CH"/>
              </w:rPr>
            </w:pPr>
          </w:p>
        </w:tc>
      </w:tr>
      <w:tr w:rsidR="00845279" w:rsidRPr="00E02DB8">
        <w:trPr>
          <w:trHeight w:val="1470"/>
        </w:trPr>
        <w:tc>
          <w:tcPr>
            <w:tcW w:w="2338" w:type="dxa"/>
            <w:tcBorders>
              <w:top w:val="nil"/>
              <w:left w:val="nil"/>
              <w:bottom w:val="nil"/>
              <w:right w:val="nil"/>
            </w:tcBorders>
          </w:tcPr>
          <w:p w:rsidR="00845279" w:rsidRPr="00602C61" w:rsidRDefault="00845279" w:rsidP="00845279">
            <w:pPr>
              <w:pStyle w:val="Marginale"/>
              <w:numPr>
                <w:ilvl w:val="12"/>
                <w:numId w:val="0"/>
              </w:numPr>
              <w:rPr>
                <w:lang w:val="fr-CH"/>
              </w:rPr>
            </w:pPr>
          </w:p>
        </w:tc>
        <w:tc>
          <w:tcPr>
            <w:tcW w:w="7326" w:type="dxa"/>
            <w:tcBorders>
              <w:top w:val="nil"/>
              <w:left w:val="nil"/>
              <w:bottom w:val="nil"/>
              <w:right w:val="nil"/>
            </w:tcBorders>
          </w:tcPr>
          <w:p w:rsidR="00834276" w:rsidRPr="00602C61" w:rsidRDefault="00372B20" w:rsidP="00372B20">
            <w:pPr>
              <w:ind w:left="72"/>
              <w:rPr>
                <w:lang w:val="fr-CH"/>
              </w:rPr>
            </w:pPr>
            <w:r w:rsidRPr="00602C61">
              <w:rPr>
                <w:vertAlign w:val="superscript"/>
                <w:lang w:val="fr-CH"/>
              </w:rPr>
              <w:t xml:space="preserve">2 </w:t>
            </w:r>
            <w:r w:rsidR="00D819CD" w:rsidRPr="00602C61">
              <w:rPr>
                <w:lang w:val="fr-CH"/>
              </w:rPr>
              <w:t>L’accès aux informations est régi par la loi sur l’information (LIn; RSB 107.1) et par l’ordonnance sur l’information (</w:t>
            </w:r>
            <w:proofErr w:type="spellStart"/>
            <w:r w:rsidR="00D819CD" w:rsidRPr="00602C61">
              <w:rPr>
                <w:lang w:val="fr-CH"/>
              </w:rPr>
              <w:t>OIn</w:t>
            </w:r>
            <w:proofErr w:type="spellEnd"/>
            <w:r w:rsidR="00D819CD" w:rsidRPr="00602C61">
              <w:rPr>
                <w:lang w:val="fr-CH"/>
              </w:rPr>
              <w:t>; RSB 107.111)</w:t>
            </w:r>
            <w:r w:rsidR="00B52948" w:rsidRPr="00602C61">
              <w:rPr>
                <w:lang w:val="fr-CH"/>
              </w:rPr>
              <w:t>.</w:t>
            </w:r>
          </w:p>
          <w:p w:rsidR="00311597" w:rsidRPr="00602C61" w:rsidRDefault="00311597" w:rsidP="00372B20">
            <w:pPr>
              <w:ind w:left="72"/>
              <w:rPr>
                <w:lang w:val="fr-CH"/>
              </w:rPr>
            </w:pPr>
          </w:p>
          <w:p w:rsidR="004B4CD7" w:rsidRPr="00602C61" w:rsidRDefault="00311597" w:rsidP="00B54A62">
            <w:pPr>
              <w:ind w:left="72"/>
              <w:rPr>
                <w:sz w:val="16"/>
                <w:szCs w:val="16"/>
                <w:lang w:val="fr-CH"/>
              </w:rPr>
            </w:pPr>
            <w:r w:rsidRPr="00602C61">
              <w:rPr>
                <w:vertAlign w:val="superscript"/>
                <w:lang w:val="fr-CH"/>
              </w:rPr>
              <w:t>3</w:t>
            </w:r>
            <w:r w:rsidRPr="00602C61">
              <w:rPr>
                <w:lang w:val="fr-CH"/>
              </w:rPr>
              <w:t xml:space="preserve"> </w:t>
            </w:r>
            <w:r w:rsidR="005069C5" w:rsidRPr="00602C61">
              <w:rPr>
                <w:lang w:val="fr-CH"/>
              </w:rPr>
              <w:t xml:space="preserve">Le terme de </w:t>
            </w:r>
            <w:r w:rsidR="00B54A62" w:rsidRPr="00602C61">
              <w:rPr>
                <w:lang w:val="fr-CH"/>
              </w:rPr>
              <w:t xml:space="preserve">traitement de </w:t>
            </w:r>
            <w:r w:rsidR="00BD5D2B" w:rsidRPr="00602C61">
              <w:rPr>
                <w:lang w:val="fr-CH"/>
              </w:rPr>
              <w:t>données</w:t>
            </w:r>
            <w:r w:rsidR="00B54A62" w:rsidRPr="00602C61">
              <w:rPr>
                <w:lang w:val="fr-CH"/>
              </w:rPr>
              <w:t xml:space="preserve"> personnelles </w:t>
            </w:r>
            <w:r w:rsidR="005069C5" w:rsidRPr="00602C61">
              <w:rPr>
                <w:szCs w:val="22"/>
                <w:lang w:val="fr-CH"/>
              </w:rPr>
              <w:t>est régi par la loi sur la protection des données (LCPD; RSB 152.04).</w:t>
            </w:r>
          </w:p>
        </w:tc>
      </w:tr>
    </w:tbl>
    <w:p w:rsidR="00F81B69" w:rsidRPr="00602C61" w:rsidRDefault="00F81B69" w:rsidP="00D2158D">
      <w:pPr>
        <w:tabs>
          <w:tab w:val="left" w:pos="2485"/>
        </w:tabs>
        <w:rPr>
          <w:sz w:val="24"/>
          <w:szCs w:val="24"/>
          <w:lang w:val="fr-CH"/>
        </w:rPr>
      </w:pPr>
    </w:p>
    <w:tbl>
      <w:tblPr>
        <w:tblW w:w="0" w:type="auto"/>
        <w:tblLayout w:type="fixed"/>
        <w:tblCellMar>
          <w:left w:w="70" w:type="dxa"/>
          <w:right w:w="70" w:type="dxa"/>
        </w:tblCellMar>
        <w:tblLook w:val="0000" w:firstRow="0" w:lastRow="0" w:firstColumn="0" w:lastColumn="0" w:noHBand="0" w:noVBand="0"/>
      </w:tblPr>
      <w:tblGrid>
        <w:gridCol w:w="2338"/>
        <w:gridCol w:w="4988"/>
        <w:gridCol w:w="2338"/>
      </w:tblGrid>
      <w:tr w:rsidR="00D5031E" w:rsidRPr="00E02DB8" w:rsidTr="00093153">
        <w:tc>
          <w:tcPr>
            <w:tcW w:w="9664" w:type="dxa"/>
            <w:gridSpan w:val="3"/>
            <w:tcBorders>
              <w:top w:val="nil"/>
              <w:left w:val="nil"/>
              <w:bottom w:val="nil"/>
              <w:right w:val="nil"/>
            </w:tcBorders>
          </w:tcPr>
          <w:p w:rsidR="00D5031E" w:rsidRPr="00602C61" w:rsidRDefault="003A6473" w:rsidP="00733BAE">
            <w:pPr>
              <w:rPr>
                <w:b/>
                <w:kern w:val="28"/>
                <w:sz w:val="28"/>
                <w:lang w:val="fr-CH"/>
              </w:rPr>
            </w:pPr>
            <w:r w:rsidRPr="00602C61">
              <w:rPr>
                <w:b/>
                <w:kern w:val="28"/>
                <w:sz w:val="28"/>
                <w:lang w:val="fr-CH"/>
              </w:rPr>
              <w:t xml:space="preserve">Complément apporté à la législation cantonale en matière de protection des données </w:t>
            </w:r>
          </w:p>
          <w:p w:rsidR="00D5031E" w:rsidRPr="00602C61" w:rsidRDefault="00D5031E" w:rsidP="00733BAE">
            <w:pPr>
              <w:rPr>
                <w:b/>
                <w:kern w:val="28"/>
                <w:sz w:val="28"/>
                <w:lang w:val="fr-CH"/>
              </w:rPr>
            </w:pPr>
          </w:p>
          <w:p w:rsidR="00D5031E" w:rsidRPr="00602C61" w:rsidRDefault="00D5031E" w:rsidP="00733BAE">
            <w:pPr>
              <w:rPr>
                <w:b/>
                <w:bCs/>
                <w:lang w:val="fr-CH"/>
              </w:rPr>
            </w:pPr>
          </w:p>
        </w:tc>
      </w:tr>
      <w:tr w:rsidR="008A1C13" w:rsidRPr="00E02DB8">
        <w:tc>
          <w:tcPr>
            <w:tcW w:w="2338" w:type="dxa"/>
            <w:tcBorders>
              <w:top w:val="nil"/>
              <w:left w:val="nil"/>
              <w:bottom w:val="nil"/>
              <w:right w:val="nil"/>
            </w:tcBorders>
          </w:tcPr>
          <w:p w:rsidR="008A1C13" w:rsidRPr="00602C61" w:rsidRDefault="00D819CD" w:rsidP="008A1C13">
            <w:pPr>
              <w:overflowPunct/>
              <w:textAlignment w:val="auto"/>
              <w:rPr>
                <w:sz w:val="20"/>
                <w:lang w:val="fr-CH"/>
              </w:rPr>
            </w:pPr>
            <w:r w:rsidRPr="00602C61">
              <w:rPr>
                <w:sz w:val="20"/>
                <w:lang w:val="fr-CH"/>
              </w:rPr>
              <w:t>Preuve du respect des dispositions sur la protection des données</w:t>
            </w:r>
          </w:p>
          <w:p w:rsidR="008A1C13" w:rsidRPr="00602C61" w:rsidRDefault="008A1C13" w:rsidP="00963C10">
            <w:pPr>
              <w:overflowPunct/>
              <w:textAlignment w:val="auto"/>
              <w:rPr>
                <w:sz w:val="20"/>
                <w:lang w:val="fr-CH"/>
              </w:rPr>
            </w:pPr>
          </w:p>
        </w:tc>
        <w:tc>
          <w:tcPr>
            <w:tcW w:w="7326" w:type="dxa"/>
            <w:gridSpan w:val="2"/>
            <w:tcBorders>
              <w:top w:val="nil"/>
              <w:left w:val="nil"/>
              <w:bottom w:val="nil"/>
              <w:right w:val="nil"/>
            </w:tcBorders>
          </w:tcPr>
          <w:p w:rsidR="008A1C13" w:rsidRPr="00602C61" w:rsidRDefault="008A1C13" w:rsidP="00733BAE">
            <w:pPr>
              <w:rPr>
                <w:b/>
                <w:bCs/>
                <w:lang w:val="fr-CH"/>
              </w:rPr>
            </w:pPr>
            <w:r w:rsidRPr="00D51AAF">
              <w:rPr>
                <w:b/>
                <w:bCs/>
                <w:lang w:val="fr-CH"/>
              </w:rPr>
              <w:t>Art. 2</w:t>
            </w:r>
            <w:r w:rsidRPr="00602C61">
              <w:rPr>
                <w:bCs/>
                <w:lang w:val="fr-CH"/>
              </w:rPr>
              <w:t xml:space="preserve"> </w:t>
            </w:r>
            <w:r w:rsidR="00D819CD" w:rsidRPr="00602C61">
              <w:rPr>
                <w:lang w:val="fr-CH"/>
              </w:rPr>
              <w:t>L’autorité responsable doit être en mesure de démontrer qu’elle applique correctement les dispositions sur la protection des données</w:t>
            </w:r>
            <w:r w:rsidRPr="00602C61">
              <w:rPr>
                <w:lang w:val="fr-CH"/>
              </w:rPr>
              <w:t>.</w:t>
            </w:r>
          </w:p>
        </w:tc>
      </w:tr>
      <w:tr w:rsidR="008A1C13" w:rsidRPr="00E02DB8">
        <w:tc>
          <w:tcPr>
            <w:tcW w:w="2338" w:type="dxa"/>
            <w:tcBorders>
              <w:top w:val="nil"/>
              <w:left w:val="nil"/>
              <w:bottom w:val="nil"/>
              <w:right w:val="nil"/>
            </w:tcBorders>
          </w:tcPr>
          <w:p w:rsidR="00D819CD" w:rsidRPr="00602C61" w:rsidRDefault="00D819CD" w:rsidP="008A1C13">
            <w:pPr>
              <w:overflowPunct/>
              <w:textAlignment w:val="auto"/>
              <w:rPr>
                <w:sz w:val="20"/>
                <w:lang w:val="fr-CH"/>
              </w:rPr>
            </w:pPr>
            <w:r w:rsidRPr="00602C61">
              <w:rPr>
                <w:sz w:val="20"/>
                <w:lang w:val="fr-CH"/>
              </w:rPr>
              <w:t>Devoir d’informer lors de la collecte de données personnelles</w:t>
            </w:r>
          </w:p>
          <w:p w:rsidR="00D819CD" w:rsidRPr="00602C61" w:rsidRDefault="00D819CD" w:rsidP="00D819CD">
            <w:pPr>
              <w:overflowPunct/>
              <w:textAlignment w:val="auto"/>
              <w:rPr>
                <w:sz w:val="20"/>
                <w:lang w:val="fr-CH"/>
              </w:rPr>
            </w:pPr>
            <w:r w:rsidRPr="00602C61">
              <w:rPr>
                <w:sz w:val="20"/>
                <w:lang w:val="fr-CH"/>
              </w:rPr>
              <w:t>1. Principe</w:t>
            </w:r>
          </w:p>
          <w:p w:rsidR="008A1C13" w:rsidRPr="00602C61" w:rsidRDefault="008A1C13" w:rsidP="008A1C13">
            <w:pPr>
              <w:overflowPunct/>
              <w:textAlignment w:val="auto"/>
              <w:rPr>
                <w:sz w:val="20"/>
                <w:highlight w:val="yellow"/>
                <w:lang w:val="fr-CH"/>
              </w:rPr>
            </w:pPr>
          </w:p>
          <w:p w:rsidR="008A1C13" w:rsidRPr="00602C61" w:rsidRDefault="008A1C13" w:rsidP="00963C10">
            <w:pPr>
              <w:overflowPunct/>
              <w:textAlignment w:val="auto"/>
              <w:rPr>
                <w:sz w:val="20"/>
                <w:lang w:val="fr-CH"/>
              </w:rPr>
            </w:pPr>
          </w:p>
        </w:tc>
        <w:tc>
          <w:tcPr>
            <w:tcW w:w="7326" w:type="dxa"/>
            <w:gridSpan w:val="2"/>
            <w:tcBorders>
              <w:top w:val="nil"/>
              <w:left w:val="nil"/>
              <w:bottom w:val="nil"/>
              <w:right w:val="nil"/>
            </w:tcBorders>
          </w:tcPr>
          <w:p w:rsidR="008A1C13" w:rsidRPr="00D51AAF" w:rsidRDefault="008A1C13" w:rsidP="00E835A0">
            <w:pPr>
              <w:overflowPunct/>
              <w:textAlignment w:val="auto"/>
              <w:rPr>
                <w:rFonts w:cs="Arial"/>
                <w:szCs w:val="22"/>
                <w:lang w:val="fr-CH"/>
              </w:rPr>
            </w:pPr>
            <w:r w:rsidRPr="00D51AAF">
              <w:rPr>
                <w:rFonts w:cs="Arial"/>
                <w:b/>
                <w:bCs/>
                <w:szCs w:val="22"/>
                <w:lang w:val="fr-CH"/>
              </w:rPr>
              <w:t>Art. 3</w:t>
            </w:r>
            <w:r w:rsidRPr="00D51AAF">
              <w:rPr>
                <w:rFonts w:cs="Arial"/>
                <w:bCs/>
                <w:szCs w:val="22"/>
                <w:lang w:val="fr-CH"/>
              </w:rPr>
              <w:t xml:space="preserve"> </w:t>
            </w:r>
            <w:r w:rsidRPr="00D51AAF">
              <w:rPr>
                <w:vertAlign w:val="superscript"/>
                <w:lang w:val="fr-CH"/>
              </w:rPr>
              <w:t>1</w:t>
            </w:r>
            <w:r w:rsidRPr="00D51AAF">
              <w:rPr>
                <w:rFonts w:cs="Arial"/>
                <w:szCs w:val="22"/>
                <w:lang w:val="fr-CH"/>
              </w:rPr>
              <w:t xml:space="preserve"> </w:t>
            </w:r>
            <w:r w:rsidR="00E835A0" w:rsidRPr="00D51AAF">
              <w:rPr>
                <w:rFonts w:cs="Arial"/>
                <w:szCs w:val="22"/>
                <w:lang w:val="fr-CH"/>
              </w:rPr>
              <w:t>L’autorité responsable informe la personne concernée de toute collecte de données la concernant, même si celle-ci est effectuée auprès d’un tiers.</w:t>
            </w:r>
          </w:p>
          <w:p w:rsidR="008A1C13" w:rsidRPr="00D51AAF" w:rsidRDefault="008A1C13" w:rsidP="008A1C13">
            <w:pPr>
              <w:overflowPunct/>
              <w:textAlignment w:val="auto"/>
              <w:rPr>
                <w:rFonts w:cs="Arial"/>
                <w:szCs w:val="22"/>
                <w:lang w:val="fr-CH"/>
              </w:rPr>
            </w:pPr>
          </w:p>
          <w:p w:rsidR="008A1C13" w:rsidRPr="00D51AAF" w:rsidRDefault="008A1C13" w:rsidP="008A1C13">
            <w:pPr>
              <w:overflowPunct/>
              <w:textAlignment w:val="auto"/>
              <w:rPr>
                <w:rFonts w:cs="Arial"/>
                <w:szCs w:val="22"/>
                <w:lang w:val="fr-CH"/>
              </w:rPr>
            </w:pPr>
            <w:r w:rsidRPr="00D51AAF">
              <w:rPr>
                <w:vertAlign w:val="superscript"/>
                <w:lang w:val="fr-CH"/>
              </w:rPr>
              <w:t>2</w:t>
            </w:r>
            <w:r w:rsidRPr="00D51AAF">
              <w:rPr>
                <w:rFonts w:cs="Arial"/>
                <w:szCs w:val="22"/>
                <w:lang w:val="fr-CH"/>
              </w:rPr>
              <w:t xml:space="preserve"> </w:t>
            </w:r>
            <w:r w:rsidR="005839C1" w:rsidRPr="00D51AAF">
              <w:rPr>
                <w:rFonts w:cs="Arial"/>
                <w:szCs w:val="22"/>
                <w:lang w:val="fr-CH"/>
              </w:rPr>
              <w:t>L’information porte en particulier sur</w:t>
            </w:r>
          </w:p>
          <w:p w:rsidR="008A1C13" w:rsidRPr="00D51AAF" w:rsidRDefault="00D51AAF" w:rsidP="00D51AAF">
            <w:pPr>
              <w:tabs>
                <w:tab w:val="left" w:pos="214"/>
              </w:tabs>
              <w:overflowPunct/>
              <w:textAlignment w:val="auto"/>
              <w:rPr>
                <w:rFonts w:cs="Arial"/>
                <w:szCs w:val="22"/>
                <w:lang w:val="fr-CH"/>
              </w:rPr>
            </w:pPr>
            <w:proofErr w:type="gramStart"/>
            <w:r>
              <w:rPr>
                <w:rFonts w:cs="Arial"/>
                <w:i/>
                <w:iCs/>
                <w:szCs w:val="22"/>
                <w:lang w:val="fr-CH"/>
              </w:rPr>
              <w:t>a</w:t>
            </w:r>
            <w:proofErr w:type="gramEnd"/>
            <w:r>
              <w:rPr>
                <w:rFonts w:cs="Arial"/>
                <w:i/>
                <w:iCs/>
                <w:szCs w:val="22"/>
                <w:lang w:val="fr-CH"/>
              </w:rPr>
              <w:tab/>
            </w:r>
            <w:r w:rsidR="005839C1" w:rsidRPr="00D51AAF">
              <w:rPr>
                <w:rFonts w:cs="Arial"/>
                <w:szCs w:val="22"/>
                <w:lang w:val="fr-CH"/>
              </w:rPr>
              <w:t>l’autorité responsable et ses coordonnées,</w:t>
            </w:r>
          </w:p>
          <w:p w:rsidR="008A1C13" w:rsidRPr="00D51AAF" w:rsidRDefault="008A1C13" w:rsidP="00D51AAF">
            <w:pPr>
              <w:tabs>
                <w:tab w:val="left" w:pos="214"/>
              </w:tabs>
              <w:overflowPunct/>
              <w:textAlignment w:val="auto"/>
              <w:rPr>
                <w:rFonts w:cs="Arial"/>
                <w:szCs w:val="22"/>
                <w:lang w:val="fr-CH"/>
              </w:rPr>
            </w:pPr>
            <w:proofErr w:type="gramStart"/>
            <w:r w:rsidRPr="00D51AAF">
              <w:rPr>
                <w:rFonts w:cs="Arial"/>
                <w:i/>
                <w:iCs/>
                <w:szCs w:val="22"/>
                <w:lang w:val="fr-CH"/>
              </w:rPr>
              <w:t>b</w:t>
            </w:r>
            <w:proofErr w:type="gramEnd"/>
            <w:r w:rsidR="00D51AAF">
              <w:rPr>
                <w:rFonts w:cs="Arial"/>
                <w:i/>
                <w:iCs/>
                <w:szCs w:val="22"/>
                <w:lang w:val="fr-CH"/>
              </w:rPr>
              <w:tab/>
            </w:r>
            <w:r w:rsidR="005839C1" w:rsidRPr="00D51AAF">
              <w:rPr>
                <w:rFonts w:cs="Arial"/>
                <w:szCs w:val="22"/>
                <w:lang w:val="fr-CH"/>
              </w:rPr>
              <w:t>les données ou catégories de données traitées,</w:t>
            </w:r>
          </w:p>
          <w:p w:rsidR="008A1C13" w:rsidRPr="00D51AAF" w:rsidRDefault="008A1C13" w:rsidP="00D51AAF">
            <w:pPr>
              <w:tabs>
                <w:tab w:val="left" w:pos="214"/>
              </w:tabs>
              <w:overflowPunct/>
              <w:textAlignment w:val="auto"/>
              <w:rPr>
                <w:rFonts w:cs="Arial"/>
                <w:szCs w:val="22"/>
                <w:lang w:val="fr-CH"/>
              </w:rPr>
            </w:pPr>
            <w:proofErr w:type="gramStart"/>
            <w:r w:rsidRPr="00D51AAF">
              <w:rPr>
                <w:rFonts w:cs="Arial"/>
                <w:i/>
                <w:iCs/>
                <w:szCs w:val="22"/>
                <w:lang w:val="fr-CH"/>
              </w:rPr>
              <w:t>c</w:t>
            </w:r>
            <w:proofErr w:type="gramEnd"/>
            <w:r w:rsidR="00D51AAF">
              <w:rPr>
                <w:rFonts w:cs="Arial"/>
                <w:i/>
                <w:iCs/>
                <w:szCs w:val="22"/>
                <w:lang w:val="fr-CH"/>
              </w:rPr>
              <w:tab/>
            </w:r>
            <w:r w:rsidR="004356F6" w:rsidRPr="00D51AAF">
              <w:rPr>
                <w:rFonts w:cs="Arial"/>
                <w:szCs w:val="22"/>
                <w:lang w:val="fr-CH"/>
              </w:rPr>
              <w:t>la base légale et le but du traitement,</w:t>
            </w:r>
          </w:p>
          <w:p w:rsidR="008A1C13" w:rsidRPr="00D51AAF" w:rsidRDefault="008A1C13" w:rsidP="00D51AAF">
            <w:pPr>
              <w:tabs>
                <w:tab w:val="left" w:pos="214"/>
              </w:tabs>
              <w:overflowPunct/>
              <w:textAlignment w:val="auto"/>
              <w:rPr>
                <w:rFonts w:cs="Arial"/>
                <w:szCs w:val="22"/>
                <w:lang w:val="fr-CH"/>
              </w:rPr>
            </w:pPr>
            <w:proofErr w:type="gramStart"/>
            <w:r w:rsidRPr="00D51AAF">
              <w:rPr>
                <w:rFonts w:cs="Arial"/>
                <w:i/>
                <w:iCs/>
                <w:szCs w:val="22"/>
                <w:lang w:val="fr-CH"/>
              </w:rPr>
              <w:t>d</w:t>
            </w:r>
            <w:proofErr w:type="gramEnd"/>
            <w:r w:rsidR="00D51AAF">
              <w:rPr>
                <w:rFonts w:cs="Arial"/>
                <w:i/>
                <w:iCs/>
                <w:szCs w:val="22"/>
                <w:lang w:val="fr-CH"/>
              </w:rPr>
              <w:tab/>
            </w:r>
            <w:r w:rsidR="003C1733" w:rsidRPr="00D51AAF">
              <w:rPr>
                <w:rFonts w:cs="Arial"/>
                <w:szCs w:val="22"/>
                <w:lang w:val="fr-CH"/>
              </w:rPr>
              <w:t>les destinataires ou les catégories de de</w:t>
            </w:r>
            <w:r w:rsidR="00D51AAF">
              <w:rPr>
                <w:rFonts w:cs="Arial"/>
                <w:szCs w:val="22"/>
                <w:lang w:val="fr-CH"/>
              </w:rPr>
              <w:t xml:space="preserve">stinataires lorsque les </w:t>
            </w:r>
            <w:r w:rsidR="00D51AAF">
              <w:rPr>
                <w:rFonts w:cs="Arial"/>
                <w:szCs w:val="22"/>
                <w:lang w:val="fr-CH"/>
              </w:rPr>
              <w:tab/>
              <w:t xml:space="preserve">données </w:t>
            </w:r>
            <w:r w:rsidR="003C1733" w:rsidRPr="00D51AAF">
              <w:rPr>
                <w:rFonts w:cs="Arial"/>
                <w:szCs w:val="22"/>
                <w:lang w:val="fr-CH"/>
              </w:rPr>
              <w:t>sont communiquées à des tiers et</w:t>
            </w:r>
          </w:p>
          <w:p w:rsidR="008A1C13" w:rsidRPr="00D51AAF" w:rsidRDefault="008A1C13" w:rsidP="00D51AAF">
            <w:pPr>
              <w:tabs>
                <w:tab w:val="left" w:pos="214"/>
              </w:tabs>
              <w:overflowPunct/>
              <w:textAlignment w:val="auto"/>
              <w:rPr>
                <w:rFonts w:cs="Arial"/>
                <w:szCs w:val="22"/>
                <w:lang w:val="fr-CH"/>
              </w:rPr>
            </w:pPr>
            <w:proofErr w:type="gramStart"/>
            <w:r w:rsidRPr="00D51AAF">
              <w:rPr>
                <w:rFonts w:cs="Arial"/>
                <w:i/>
                <w:iCs/>
                <w:szCs w:val="22"/>
                <w:lang w:val="fr-CH"/>
              </w:rPr>
              <w:t>e</w:t>
            </w:r>
            <w:proofErr w:type="gramEnd"/>
            <w:r w:rsidR="00D51AAF">
              <w:rPr>
                <w:rFonts w:cs="Arial"/>
                <w:i/>
                <w:iCs/>
                <w:szCs w:val="22"/>
                <w:lang w:val="fr-CH"/>
              </w:rPr>
              <w:tab/>
            </w:r>
            <w:r w:rsidR="003C1733" w:rsidRPr="00D51AAF">
              <w:rPr>
                <w:rFonts w:cs="Arial"/>
                <w:szCs w:val="22"/>
                <w:lang w:val="fr-CH"/>
              </w:rPr>
              <w:t>les droits de la personne concernée.</w:t>
            </w:r>
          </w:p>
          <w:p w:rsidR="008A1C13" w:rsidRPr="00D51AAF" w:rsidRDefault="008A1C13" w:rsidP="008A1C13">
            <w:pPr>
              <w:overflowPunct/>
              <w:textAlignment w:val="auto"/>
              <w:rPr>
                <w:rFonts w:cs="Arial"/>
                <w:szCs w:val="22"/>
                <w:lang w:val="fr-CH"/>
              </w:rPr>
            </w:pPr>
          </w:p>
          <w:p w:rsidR="008A1C13" w:rsidRPr="00D51AAF" w:rsidRDefault="008A1C13" w:rsidP="008A1C13">
            <w:pPr>
              <w:overflowPunct/>
              <w:textAlignment w:val="auto"/>
              <w:rPr>
                <w:rFonts w:cs="Arial"/>
                <w:szCs w:val="22"/>
                <w:lang w:val="fr-CH"/>
              </w:rPr>
            </w:pPr>
            <w:r w:rsidRPr="00D51AAF">
              <w:rPr>
                <w:vertAlign w:val="superscript"/>
                <w:lang w:val="fr-CH"/>
              </w:rPr>
              <w:t>3</w:t>
            </w:r>
            <w:r w:rsidRPr="00D51AAF">
              <w:rPr>
                <w:rFonts w:cs="Arial"/>
                <w:szCs w:val="22"/>
                <w:lang w:val="fr-CH"/>
              </w:rPr>
              <w:t xml:space="preserve"> </w:t>
            </w:r>
            <w:r w:rsidR="009F2358" w:rsidRPr="00D51AAF">
              <w:rPr>
                <w:rFonts w:cs="Arial"/>
                <w:szCs w:val="22"/>
                <w:lang w:val="fr-CH"/>
              </w:rPr>
              <w:t>L’information est transmise</w:t>
            </w:r>
          </w:p>
          <w:p w:rsidR="008A1C13" w:rsidRPr="00D51AAF" w:rsidRDefault="00D51AAF" w:rsidP="00D51AAF">
            <w:pPr>
              <w:tabs>
                <w:tab w:val="left" w:pos="217"/>
              </w:tabs>
              <w:overflowPunct/>
              <w:textAlignment w:val="auto"/>
              <w:rPr>
                <w:rFonts w:cs="Arial"/>
                <w:szCs w:val="22"/>
                <w:lang w:val="fr-CH"/>
              </w:rPr>
            </w:pPr>
            <w:proofErr w:type="gramStart"/>
            <w:r>
              <w:rPr>
                <w:rFonts w:cs="Arial"/>
                <w:i/>
                <w:iCs/>
                <w:szCs w:val="22"/>
                <w:lang w:val="fr-CH"/>
              </w:rPr>
              <w:t>a</w:t>
            </w:r>
            <w:proofErr w:type="gramEnd"/>
            <w:r>
              <w:rPr>
                <w:rFonts w:cs="Arial"/>
                <w:i/>
                <w:iCs/>
                <w:szCs w:val="22"/>
                <w:lang w:val="fr-CH"/>
              </w:rPr>
              <w:tab/>
            </w:r>
            <w:r w:rsidR="009F2358" w:rsidRPr="00D51AAF">
              <w:rPr>
                <w:rFonts w:cs="Arial"/>
                <w:szCs w:val="22"/>
                <w:lang w:val="fr-CH"/>
              </w:rPr>
              <w:t xml:space="preserve">au moyen d’une publication librement accessible dans le registre des </w:t>
            </w:r>
            <w:r>
              <w:rPr>
                <w:rFonts w:cs="Arial"/>
                <w:szCs w:val="22"/>
                <w:lang w:val="fr-CH"/>
              </w:rPr>
              <w:tab/>
            </w:r>
            <w:r w:rsidR="009F2358" w:rsidRPr="00D51AAF">
              <w:rPr>
                <w:rFonts w:cs="Arial"/>
                <w:szCs w:val="22"/>
                <w:lang w:val="fr-CH"/>
              </w:rPr>
              <w:t>fichiers, conformément à l’article 18 LCPD,</w:t>
            </w:r>
          </w:p>
          <w:p w:rsidR="008A1C13" w:rsidRPr="00D51AAF" w:rsidRDefault="008A1C13" w:rsidP="00D51AAF">
            <w:pPr>
              <w:tabs>
                <w:tab w:val="left" w:pos="206"/>
              </w:tabs>
              <w:overflowPunct/>
              <w:textAlignment w:val="auto"/>
              <w:rPr>
                <w:rFonts w:cs="Arial"/>
                <w:szCs w:val="22"/>
                <w:lang w:val="fr-CH"/>
              </w:rPr>
            </w:pPr>
            <w:proofErr w:type="gramStart"/>
            <w:r w:rsidRPr="00D51AAF">
              <w:rPr>
                <w:rFonts w:cs="Arial"/>
                <w:i/>
                <w:iCs/>
                <w:szCs w:val="22"/>
                <w:lang w:val="fr-CH"/>
              </w:rPr>
              <w:t>b</w:t>
            </w:r>
            <w:proofErr w:type="gramEnd"/>
            <w:r w:rsidR="00D51AAF">
              <w:rPr>
                <w:rFonts w:cs="Arial"/>
                <w:i/>
                <w:iCs/>
                <w:szCs w:val="22"/>
                <w:lang w:val="fr-CH"/>
              </w:rPr>
              <w:tab/>
            </w:r>
            <w:r w:rsidR="009F2358" w:rsidRPr="00D51AAF">
              <w:rPr>
                <w:rFonts w:cs="Arial"/>
                <w:szCs w:val="22"/>
                <w:lang w:val="fr-CH"/>
              </w:rPr>
              <w:t>sur le site Internet de l’autorité responsable ou</w:t>
            </w:r>
          </w:p>
          <w:p w:rsidR="008A1C13" w:rsidRPr="00D51AAF" w:rsidRDefault="008A1C13" w:rsidP="00D51AAF">
            <w:pPr>
              <w:tabs>
                <w:tab w:val="left" w:pos="206"/>
              </w:tabs>
              <w:rPr>
                <w:rFonts w:cs="Arial"/>
                <w:szCs w:val="22"/>
                <w:lang w:val="fr-CH"/>
              </w:rPr>
            </w:pPr>
            <w:proofErr w:type="gramStart"/>
            <w:r w:rsidRPr="00D51AAF">
              <w:rPr>
                <w:rFonts w:cs="Arial"/>
                <w:i/>
                <w:iCs/>
                <w:szCs w:val="22"/>
                <w:lang w:val="fr-CH"/>
              </w:rPr>
              <w:t>c</w:t>
            </w:r>
            <w:proofErr w:type="gramEnd"/>
            <w:r w:rsidR="00D51AAF">
              <w:rPr>
                <w:rFonts w:cs="Arial"/>
                <w:i/>
                <w:iCs/>
                <w:szCs w:val="22"/>
                <w:lang w:val="fr-CH"/>
              </w:rPr>
              <w:tab/>
            </w:r>
            <w:r w:rsidR="009F2358" w:rsidRPr="00D51AAF">
              <w:rPr>
                <w:rFonts w:cs="Arial"/>
                <w:szCs w:val="22"/>
                <w:lang w:val="fr-CH"/>
              </w:rPr>
              <w:t>directement à la personne concernée.</w:t>
            </w:r>
          </w:p>
          <w:p w:rsidR="008A1C13" w:rsidRPr="00D51AAF" w:rsidRDefault="008A1C13" w:rsidP="00733BAE">
            <w:pPr>
              <w:overflowPunct/>
              <w:textAlignment w:val="auto"/>
              <w:rPr>
                <w:rFonts w:cs="Arial"/>
                <w:b/>
                <w:bCs/>
                <w:szCs w:val="22"/>
                <w:lang w:val="fr-CH"/>
              </w:rPr>
            </w:pPr>
          </w:p>
        </w:tc>
      </w:tr>
      <w:tr w:rsidR="008A1C13" w:rsidRPr="00E02DB8">
        <w:tc>
          <w:tcPr>
            <w:tcW w:w="2338" w:type="dxa"/>
            <w:tcBorders>
              <w:top w:val="nil"/>
              <w:left w:val="nil"/>
              <w:bottom w:val="nil"/>
              <w:right w:val="nil"/>
            </w:tcBorders>
          </w:tcPr>
          <w:p w:rsidR="008A1C13" w:rsidRPr="009E2503" w:rsidRDefault="008A1C13" w:rsidP="00E307E7">
            <w:pPr>
              <w:pStyle w:val="Marginale"/>
              <w:rPr>
                <w:rFonts w:cs="Arial"/>
                <w:iCs/>
                <w:highlight w:val="yellow"/>
                <w:lang w:val="fr-CH"/>
              </w:rPr>
            </w:pPr>
            <w:r w:rsidRPr="009E2503">
              <w:rPr>
                <w:rFonts w:cs="Arial"/>
                <w:iCs/>
                <w:lang w:val="fr-CH"/>
              </w:rPr>
              <w:lastRenderedPageBreak/>
              <w:t xml:space="preserve">2. </w:t>
            </w:r>
            <w:r w:rsidR="00E307E7" w:rsidRPr="009E2503">
              <w:rPr>
                <w:rFonts w:cs="Arial"/>
                <w:iCs/>
                <w:lang w:val="fr-CH"/>
              </w:rPr>
              <w:t>Exceptions</w:t>
            </w:r>
          </w:p>
        </w:tc>
        <w:tc>
          <w:tcPr>
            <w:tcW w:w="7326" w:type="dxa"/>
            <w:gridSpan w:val="2"/>
            <w:tcBorders>
              <w:top w:val="nil"/>
              <w:left w:val="nil"/>
              <w:bottom w:val="nil"/>
              <w:right w:val="nil"/>
            </w:tcBorders>
          </w:tcPr>
          <w:p w:rsidR="008A1C13" w:rsidRPr="009E2503" w:rsidRDefault="008A1C13" w:rsidP="008F2CE5">
            <w:pPr>
              <w:rPr>
                <w:rFonts w:cs="Arial"/>
                <w:szCs w:val="22"/>
                <w:lang w:val="fr-CH"/>
              </w:rPr>
            </w:pPr>
            <w:r w:rsidRPr="009E2503">
              <w:rPr>
                <w:rFonts w:cs="Arial"/>
                <w:b/>
                <w:bCs/>
                <w:szCs w:val="22"/>
                <w:lang w:val="fr-CH"/>
              </w:rPr>
              <w:t>Art. 4</w:t>
            </w:r>
            <w:r w:rsidRPr="009E2503">
              <w:rPr>
                <w:rFonts w:cs="Arial"/>
                <w:bCs/>
                <w:szCs w:val="22"/>
                <w:lang w:val="fr-CH"/>
              </w:rPr>
              <w:t xml:space="preserve"> </w:t>
            </w:r>
            <w:r w:rsidRPr="009E2503">
              <w:rPr>
                <w:vertAlign w:val="superscript"/>
                <w:lang w:val="fr-CH"/>
              </w:rPr>
              <w:t>1</w:t>
            </w:r>
            <w:r w:rsidRPr="009E2503">
              <w:rPr>
                <w:rFonts w:cs="Arial"/>
                <w:szCs w:val="22"/>
                <w:lang w:val="fr-CH"/>
              </w:rPr>
              <w:t xml:space="preserve"> </w:t>
            </w:r>
            <w:r w:rsidR="008F2CE5" w:rsidRPr="009E2503">
              <w:rPr>
                <w:rFonts w:cs="Arial"/>
                <w:szCs w:val="22"/>
                <w:lang w:val="fr-CH"/>
              </w:rPr>
              <w:t>Il peut être renoncé à l’information lorsque</w:t>
            </w:r>
          </w:p>
          <w:p w:rsidR="008A1C13" w:rsidRPr="009E2503" w:rsidRDefault="00D51AAF" w:rsidP="009E2503">
            <w:pPr>
              <w:overflowPunct/>
              <w:ind w:left="214" w:hanging="214"/>
              <w:textAlignment w:val="auto"/>
              <w:rPr>
                <w:rFonts w:cs="Arial"/>
                <w:szCs w:val="22"/>
                <w:lang w:val="fr-CH"/>
              </w:rPr>
            </w:pPr>
            <w:proofErr w:type="gramStart"/>
            <w:r w:rsidRPr="009E2503">
              <w:rPr>
                <w:rFonts w:cs="Arial"/>
                <w:i/>
                <w:iCs/>
                <w:szCs w:val="22"/>
                <w:lang w:val="fr-CH"/>
              </w:rPr>
              <w:t>a</w:t>
            </w:r>
            <w:proofErr w:type="gramEnd"/>
            <w:r w:rsidRPr="009E2503">
              <w:rPr>
                <w:rFonts w:cs="Arial"/>
                <w:i/>
                <w:iCs/>
                <w:szCs w:val="22"/>
                <w:lang w:val="fr-CH"/>
              </w:rPr>
              <w:tab/>
            </w:r>
            <w:r w:rsidR="00440E5E" w:rsidRPr="009E2503">
              <w:rPr>
                <w:rFonts w:cs="Arial"/>
                <w:szCs w:val="22"/>
                <w:lang w:val="fr-CH"/>
              </w:rPr>
              <w:t>la personne concernée dispose déjà des informations citées à l’article</w:t>
            </w:r>
            <w:r w:rsidR="00FD09FA">
              <w:rPr>
                <w:rFonts w:cs="Arial"/>
                <w:szCs w:val="22"/>
                <w:lang w:val="fr-CH"/>
              </w:rPr>
              <w:t> </w:t>
            </w:r>
            <w:r w:rsidR="00D241FC">
              <w:rPr>
                <w:rFonts w:cs="Arial"/>
                <w:szCs w:val="22"/>
                <w:lang w:val="fr-CH"/>
              </w:rPr>
              <w:t>3</w:t>
            </w:r>
            <w:r w:rsidR="00440E5E" w:rsidRPr="009E2503">
              <w:rPr>
                <w:rFonts w:cs="Arial"/>
                <w:szCs w:val="22"/>
                <w:lang w:val="fr-CH"/>
              </w:rPr>
              <w:t>, alinéa 2;</w:t>
            </w:r>
          </w:p>
          <w:p w:rsidR="008A1C13" w:rsidRPr="009E2503" w:rsidRDefault="008A1C13" w:rsidP="009E2503">
            <w:pPr>
              <w:tabs>
                <w:tab w:val="left" w:pos="214"/>
              </w:tabs>
              <w:overflowPunct/>
              <w:textAlignment w:val="auto"/>
              <w:rPr>
                <w:rFonts w:cs="Arial"/>
                <w:szCs w:val="22"/>
                <w:lang w:val="fr-CH"/>
              </w:rPr>
            </w:pPr>
            <w:proofErr w:type="gramStart"/>
            <w:r w:rsidRPr="009E2503">
              <w:rPr>
                <w:rFonts w:cs="Arial"/>
                <w:i/>
                <w:iCs/>
                <w:szCs w:val="22"/>
                <w:lang w:val="fr-CH"/>
              </w:rPr>
              <w:t>b</w:t>
            </w:r>
            <w:proofErr w:type="gramEnd"/>
            <w:r w:rsidR="00D51AAF" w:rsidRPr="009E2503">
              <w:rPr>
                <w:rFonts w:cs="Arial"/>
                <w:i/>
                <w:iCs/>
                <w:szCs w:val="22"/>
                <w:lang w:val="fr-CH"/>
              </w:rPr>
              <w:tab/>
            </w:r>
            <w:r w:rsidR="00440E5E" w:rsidRPr="009E2503">
              <w:rPr>
                <w:rFonts w:cs="Arial"/>
                <w:szCs w:val="22"/>
                <w:lang w:val="fr-CH"/>
              </w:rPr>
              <w:t xml:space="preserve">le traitement des données personnelles est expressément prévu par la </w:t>
            </w:r>
            <w:r w:rsidR="009E2503">
              <w:rPr>
                <w:rFonts w:cs="Arial"/>
                <w:szCs w:val="22"/>
                <w:lang w:val="fr-CH"/>
              </w:rPr>
              <w:tab/>
            </w:r>
            <w:r w:rsidR="00440E5E" w:rsidRPr="009E2503">
              <w:rPr>
                <w:rFonts w:cs="Arial"/>
                <w:szCs w:val="22"/>
                <w:lang w:val="fr-CH"/>
              </w:rPr>
              <w:t>loi ou</w:t>
            </w:r>
          </w:p>
          <w:p w:rsidR="008A1C13" w:rsidRPr="009E2503" w:rsidRDefault="008A1C13" w:rsidP="009E2503">
            <w:pPr>
              <w:tabs>
                <w:tab w:val="left" w:pos="206"/>
              </w:tabs>
              <w:overflowPunct/>
              <w:textAlignment w:val="auto"/>
              <w:rPr>
                <w:rFonts w:cs="Arial"/>
                <w:szCs w:val="22"/>
                <w:lang w:val="fr-CH"/>
              </w:rPr>
            </w:pPr>
            <w:proofErr w:type="gramStart"/>
            <w:r w:rsidRPr="009E2503">
              <w:rPr>
                <w:rFonts w:cs="Arial"/>
                <w:i/>
                <w:iCs/>
                <w:szCs w:val="22"/>
                <w:lang w:val="fr-CH"/>
              </w:rPr>
              <w:t>c</w:t>
            </w:r>
            <w:proofErr w:type="gramEnd"/>
            <w:r w:rsidR="00D51AAF" w:rsidRPr="009E2503">
              <w:rPr>
                <w:rFonts w:cs="Arial"/>
                <w:i/>
                <w:iCs/>
                <w:szCs w:val="22"/>
                <w:lang w:val="fr-CH"/>
              </w:rPr>
              <w:tab/>
            </w:r>
            <w:r w:rsidR="00440E5E" w:rsidRPr="009E2503">
              <w:rPr>
                <w:rFonts w:cs="Arial"/>
                <w:szCs w:val="22"/>
                <w:lang w:val="fr-CH"/>
              </w:rPr>
              <w:t xml:space="preserve">le devoir d’informer est impossible à respecter ou nécessite des efforts </w:t>
            </w:r>
            <w:r w:rsidR="009E2503">
              <w:rPr>
                <w:rFonts w:cs="Arial"/>
                <w:szCs w:val="22"/>
                <w:lang w:val="fr-CH"/>
              </w:rPr>
              <w:tab/>
            </w:r>
            <w:r w:rsidR="00440E5E" w:rsidRPr="009E2503">
              <w:rPr>
                <w:rFonts w:cs="Arial"/>
                <w:szCs w:val="22"/>
                <w:lang w:val="fr-CH"/>
              </w:rPr>
              <w:t>disproportionnés</w:t>
            </w:r>
            <w:r w:rsidRPr="009E2503">
              <w:rPr>
                <w:rFonts w:cs="Arial"/>
                <w:szCs w:val="22"/>
                <w:lang w:val="fr-CH"/>
              </w:rPr>
              <w:t>.</w:t>
            </w:r>
          </w:p>
          <w:p w:rsidR="008A1C13" w:rsidRPr="009E2503" w:rsidRDefault="008A1C13" w:rsidP="008A1C13">
            <w:pPr>
              <w:overflowPunct/>
              <w:textAlignment w:val="auto"/>
              <w:rPr>
                <w:rFonts w:cs="Arial"/>
                <w:szCs w:val="22"/>
                <w:lang w:val="fr-CH"/>
              </w:rPr>
            </w:pPr>
          </w:p>
          <w:p w:rsidR="008A1C13" w:rsidRPr="009E2503" w:rsidRDefault="008A1C13" w:rsidP="008A1C13">
            <w:pPr>
              <w:overflowPunct/>
              <w:textAlignment w:val="auto"/>
              <w:rPr>
                <w:rFonts w:cs="Arial"/>
                <w:szCs w:val="22"/>
                <w:lang w:val="fr-CH"/>
              </w:rPr>
            </w:pPr>
            <w:r w:rsidRPr="009E2503">
              <w:rPr>
                <w:vertAlign w:val="superscript"/>
                <w:lang w:val="fr-CH"/>
              </w:rPr>
              <w:t>2</w:t>
            </w:r>
            <w:r w:rsidRPr="009E2503">
              <w:rPr>
                <w:rFonts w:cs="Arial"/>
                <w:szCs w:val="22"/>
                <w:lang w:val="fr-CH"/>
              </w:rPr>
              <w:t xml:space="preserve"> </w:t>
            </w:r>
            <w:r w:rsidR="00892EB8" w:rsidRPr="009E2503">
              <w:rPr>
                <w:rFonts w:cs="Arial"/>
                <w:szCs w:val="22"/>
                <w:lang w:val="fr-CH"/>
              </w:rPr>
              <w:t>La communication des informations peut au demeurant être restreinte aux mêmes conditions que celles régissant l’accès d’une personne à ses propres données</w:t>
            </w:r>
            <w:r w:rsidR="00CA6F5B">
              <w:rPr>
                <w:rFonts w:cs="Arial"/>
                <w:szCs w:val="22"/>
                <w:lang w:val="fr-CH"/>
              </w:rPr>
              <w:t xml:space="preserve"> </w:t>
            </w:r>
            <w:r w:rsidR="00CA6F5B">
              <w:rPr>
                <w:rFonts w:cs="Arial"/>
                <w:szCs w:val="22"/>
                <w:lang w:val="fr-CH"/>
              </w:rPr>
              <w:t>en application des articles 21, alinéa 4 et 22 LCPD</w:t>
            </w:r>
            <w:bookmarkStart w:id="2" w:name="_GoBack"/>
            <w:bookmarkEnd w:id="2"/>
            <w:r w:rsidR="00892EB8" w:rsidRPr="009E2503">
              <w:rPr>
                <w:rFonts w:cs="Arial"/>
                <w:szCs w:val="22"/>
                <w:lang w:val="fr-CH"/>
              </w:rPr>
              <w:t>.</w:t>
            </w:r>
          </w:p>
          <w:p w:rsidR="008A1C13" w:rsidRPr="00602C61" w:rsidRDefault="008A1C13" w:rsidP="008A1C13">
            <w:pPr>
              <w:overflowPunct/>
              <w:textAlignment w:val="auto"/>
              <w:rPr>
                <w:rFonts w:ascii="Arial-BoldMT" w:hAnsi="Arial-BoldMT" w:cs="Arial-BoldMT"/>
                <w:b/>
                <w:bCs/>
                <w:sz w:val="20"/>
                <w:lang w:val="fr-CH"/>
              </w:rPr>
            </w:pPr>
          </w:p>
        </w:tc>
      </w:tr>
      <w:tr w:rsidR="008A1C13" w:rsidRPr="00E02DB8">
        <w:tc>
          <w:tcPr>
            <w:tcW w:w="2338" w:type="dxa"/>
            <w:tcBorders>
              <w:top w:val="nil"/>
              <w:left w:val="nil"/>
              <w:bottom w:val="nil"/>
              <w:right w:val="nil"/>
            </w:tcBorders>
          </w:tcPr>
          <w:p w:rsidR="008A1C13" w:rsidRPr="009E2503" w:rsidRDefault="00E307E7" w:rsidP="008A1C13">
            <w:pPr>
              <w:pStyle w:val="Marginale"/>
              <w:rPr>
                <w:rFonts w:cs="Arial"/>
                <w:iCs/>
                <w:lang w:val="fr-CH"/>
              </w:rPr>
            </w:pPr>
            <w:r w:rsidRPr="009E2503">
              <w:rPr>
                <w:rFonts w:cs="Arial"/>
                <w:iCs/>
                <w:lang w:val="fr-CH"/>
              </w:rPr>
              <w:t>Communication aux destinataires des données personnelles</w:t>
            </w:r>
          </w:p>
          <w:p w:rsidR="008A1C13" w:rsidRPr="009E2503" w:rsidRDefault="008A1C13" w:rsidP="009616B3">
            <w:pPr>
              <w:pStyle w:val="Marginale"/>
              <w:rPr>
                <w:rFonts w:cs="Arial"/>
                <w:iCs/>
                <w:lang w:val="fr-CH"/>
              </w:rPr>
            </w:pPr>
          </w:p>
        </w:tc>
        <w:tc>
          <w:tcPr>
            <w:tcW w:w="7326" w:type="dxa"/>
            <w:gridSpan w:val="2"/>
            <w:tcBorders>
              <w:top w:val="nil"/>
              <w:left w:val="nil"/>
              <w:bottom w:val="nil"/>
              <w:right w:val="nil"/>
            </w:tcBorders>
          </w:tcPr>
          <w:p w:rsidR="008A1C13" w:rsidRPr="009E2503" w:rsidRDefault="008A1C13" w:rsidP="008A1C13">
            <w:pPr>
              <w:overflowPunct/>
              <w:textAlignment w:val="auto"/>
              <w:rPr>
                <w:rFonts w:ascii="ArialMT" w:hAnsi="ArialMT" w:cs="ArialMT"/>
                <w:szCs w:val="22"/>
                <w:lang w:val="fr-CH"/>
              </w:rPr>
            </w:pPr>
            <w:r w:rsidRPr="009E2503">
              <w:rPr>
                <w:rFonts w:ascii="Arial-BoldMT" w:hAnsi="Arial-BoldMT" w:cs="Arial-BoldMT"/>
                <w:b/>
                <w:bCs/>
                <w:szCs w:val="22"/>
                <w:lang w:val="fr-CH"/>
              </w:rPr>
              <w:t>Art. 5</w:t>
            </w:r>
            <w:r w:rsidRPr="009E2503">
              <w:rPr>
                <w:rFonts w:ascii="Arial-BoldMT" w:hAnsi="Arial-BoldMT" w:cs="Arial-BoldMT"/>
                <w:bCs/>
                <w:szCs w:val="22"/>
                <w:lang w:val="fr-CH"/>
              </w:rPr>
              <w:t xml:space="preserve"> </w:t>
            </w:r>
            <w:r w:rsidRPr="009E2503">
              <w:rPr>
                <w:vertAlign w:val="superscript"/>
                <w:lang w:val="fr-CH"/>
              </w:rPr>
              <w:t>1</w:t>
            </w:r>
            <w:r w:rsidRPr="009E2503">
              <w:rPr>
                <w:rFonts w:ascii="ArialMT" w:hAnsi="ArialMT" w:cs="ArialMT"/>
                <w:szCs w:val="22"/>
                <w:lang w:val="fr-CH"/>
              </w:rPr>
              <w:t xml:space="preserve"> </w:t>
            </w:r>
            <w:r w:rsidR="00E93E13" w:rsidRPr="009E2503">
              <w:rPr>
                <w:rFonts w:ascii="ArialMT" w:hAnsi="ArialMT" w:cs="ArialMT"/>
                <w:szCs w:val="22"/>
                <w:lang w:val="fr-CH"/>
              </w:rPr>
              <w:t>L’autorité responsable informe les autorités ou personnes privées auxquelles elle a communiqué les données personnelles (art. 10 à 14a LCPD) de toute rectification ou destruction entreprise en application de l’article 23 ou 24 LCPD</w:t>
            </w:r>
            <w:r w:rsidRPr="009E2503">
              <w:rPr>
                <w:rFonts w:ascii="ArialMT" w:hAnsi="ArialMT" w:cs="ArialMT"/>
                <w:szCs w:val="22"/>
                <w:lang w:val="fr-CH"/>
              </w:rPr>
              <w:t>.</w:t>
            </w:r>
          </w:p>
          <w:p w:rsidR="008A1C13" w:rsidRPr="009E2503" w:rsidRDefault="008A1C13" w:rsidP="008A1C13">
            <w:pPr>
              <w:overflowPunct/>
              <w:textAlignment w:val="auto"/>
              <w:rPr>
                <w:rFonts w:ascii="ArialMT" w:hAnsi="ArialMT" w:cs="ArialMT"/>
                <w:szCs w:val="22"/>
                <w:lang w:val="fr-CH"/>
              </w:rPr>
            </w:pPr>
          </w:p>
          <w:p w:rsidR="008A1C13" w:rsidRPr="009E2503" w:rsidRDefault="008A1C13" w:rsidP="008A1C13">
            <w:pPr>
              <w:overflowPunct/>
              <w:textAlignment w:val="auto"/>
              <w:rPr>
                <w:rFonts w:ascii="ArialMT" w:hAnsi="ArialMT" w:cs="ArialMT"/>
                <w:szCs w:val="22"/>
                <w:lang w:val="fr-CH"/>
              </w:rPr>
            </w:pPr>
            <w:r w:rsidRPr="009E2503">
              <w:rPr>
                <w:vertAlign w:val="superscript"/>
                <w:lang w:val="fr-CH"/>
              </w:rPr>
              <w:t>2</w:t>
            </w:r>
            <w:r w:rsidRPr="009E2503">
              <w:rPr>
                <w:rFonts w:ascii="ArialMT" w:hAnsi="ArialMT" w:cs="ArialMT"/>
                <w:szCs w:val="22"/>
                <w:lang w:val="fr-CH"/>
              </w:rPr>
              <w:t xml:space="preserve"> </w:t>
            </w:r>
            <w:r w:rsidR="00703552" w:rsidRPr="009E2503">
              <w:rPr>
                <w:rFonts w:ascii="ArialMT" w:hAnsi="ArialMT" w:cs="ArialMT"/>
                <w:szCs w:val="22"/>
                <w:lang w:val="fr-CH"/>
              </w:rPr>
              <w:t>Il peut être renoncé à la communication lorsqu’elle s’avère impossible ou qu’elle nécessite des efforts disproportionnés.</w:t>
            </w:r>
          </w:p>
          <w:p w:rsidR="008A1C13" w:rsidRPr="00602C61" w:rsidRDefault="008A1C13" w:rsidP="008A1C13">
            <w:pPr>
              <w:overflowPunct/>
              <w:textAlignment w:val="auto"/>
              <w:rPr>
                <w:rFonts w:ascii="Arial-BoldMT" w:hAnsi="Arial-BoldMT" w:cs="Arial-BoldMT"/>
                <w:b/>
                <w:bCs/>
                <w:sz w:val="20"/>
                <w:lang w:val="fr-CH"/>
              </w:rPr>
            </w:pPr>
          </w:p>
        </w:tc>
      </w:tr>
      <w:tr w:rsidR="008A1C13" w:rsidRPr="00E02DB8">
        <w:tc>
          <w:tcPr>
            <w:tcW w:w="2338" w:type="dxa"/>
            <w:tcBorders>
              <w:top w:val="nil"/>
              <w:left w:val="nil"/>
              <w:bottom w:val="nil"/>
              <w:right w:val="nil"/>
            </w:tcBorders>
          </w:tcPr>
          <w:p w:rsidR="008A1C13" w:rsidRPr="009E2503" w:rsidRDefault="00D92D37" w:rsidP="008A1C13">
            <w:pPr>
              <w:pStyle w:val="Marginale"/>
              <w:rPr>
                <w:rFonts w:cs="Arial"/>
                <w:iCs/>
                <w:lang w:val="fr-CH"/>
              </w:rPr>
            </w:pPr>
            <w:r w:rsidRPr="009E2503">
              <w:rPr>
                <w:rFonts w:cs="Arial"/>
                <w:iCs/>
                <w:lang w:val="fr-CH"/>
              </w:rPr>
              <w:t>Traitement sur mandat (art. 16 LCPD)</w:t>
            </w:r>
            <w:r w:rsidR="008A1C13" w:rsidRPr="009E2503">
              <w:rPr>
                <w:rFonts w:cs="Arial"/>
                <w:iCs/>
                <w:lang w:val="fr-CH"/>
              </w:rPr>
              <w:t xml:space="preserve"> </w:t>
            </w:r>
          </w:p>
          <w:p w:rsidR="008A1C13" w:rsidRPr="009E2503" w:rsidRDefault="008A1C13" w:rsidP="009616B3">
            <w:pPr>
              <w:pStyle w:val="Marginale"/>
              <w:rPr>
                <w:rFonts w:cs="Arial"/>
                <w:iCs/>
                <w:lang w:val="fr-CH"/>
              </w:rPr>
            </w:pPr>
          </w:p>
        </w:tc>
        <w:tc>
          <w:tcPr>
            <w:tcW w:w="7326" w:type="dxa"/>
            <w:gridSpan w:val="2"/>
            <w:tcBorders>
              <w:top w:val="nil"/>
              <w:left w:val="nil"/>
              <w:bottom w:val="nil"/>
              <w:right w:val="nil"/>
            </w:tcBorders>
          </w:tcPr>
          <w:p w:rsidR="008A1C13" w:rsidRPr="009E2503" w:rsidRDefault="008A1C13" w:rsidP="008A1C13">
            <w:pPr>
              <w:rPr>
                <w:rFonts w:cs="Arial"/>
                <w:szCs w:val="22"/>
                <w:lang w:val="fr-CH"/>
              </w:rPr>
            </w:pPr>
            <w:r w:rsidRPr="009E2503">
              <w:rPr>
                <w:rFonts w:cs="Arial"/>
                <w:b/>
                <w:bCs/>
                <w:szCs w:val="22"/>
                <w:lang w:val="fr-CH"/>
              </w:rPr>
              <w:t>Art. 6</w:t>
            </w:r>
            <w:r w:rsidRPr="009E2503">
              <w:rPr>
                <w:rFonts w:cs="Arial"/>
                <w:bCs/>
                <w:szCs w:val="22"/>
                <w:lang w:val="fr-CH"/>
              </w:rPr>
              <w:t xml:space="preserve"> </w:t>
            </w:r>
            <w:r w:rsidRPr="009E2503">
              <w:rPr>
                <w:vertAlign w:val="superscript"/>
                <w:lang w:val="fr-CH"/>
              </w:rPr>
              <w:t>1</w:t>
            </w:r>
            <w:r w:rsidRPr="009E2503">
              <w:rPr>
                <w:rFonts w:cs="Arial"/>
                <w:szCs w:val="22"/>
                <w:lang w:val="fr-CH"/>
              </w:rPr>
              <w:t xml:space="preserve"> </w:t>
            </w:r>
            <w:r w:rsidR="00D159F4" w:rsidRPr="009E2503">
              <w:rPr>
                <w:rFonts w:cs="Arial"/>
                <w:szCs w:val="22"/>
                <w:lang w:val="fr-CH"/>
              </w:rPr>
              <w:t>Quiconque traite des données personnelles sur mandat d’une autorité au sens de l’article 16 LCPD (mandataire) ne peut pas transmettre le mandat à un tiers sans le consentement écrit préalable de l’autorité.</w:t>
            </w:r>
          </w:p>
          <w:p w:rsidR="008A1C13" w:rsidRPr="00602C61" w:rsidRDefault="008A1C13" w:rsidP="00733BAE">
            <w:pPr>
              <w:overflowPunct/>
              <w:textAlignment w:val="auto"/>
              <w:rPr>
                <w:rFonts w:ascii="Arial-BoldMT" w:hAnsi="Arial-BoldMT" w:cs="Arial-BoldMT"/>
                <w:b/>
                <w:bCs/>
                <w:sz w:val="20"/>
                <w:lang w:val="fr-CH"/>
              </w:rPr>
            </w:pPr>
          </w:p>
        </w:tc>
      </w:tr>
      <w:tr w:rsidR="008A1C13" w:rsidRPr="00E02DB8">
        <w:tc>
          <w:tcPr>
            <w:tcW w:w="2338" w:type="dxa"/>
            <w:tcBorders>
              <w:top w:val="nil"/>
              <w:left w:val="nil"/>
              <w:bottom w:val="nil"/>
              <w:right w:val="nil"/>
            </w:tcBorders>
          </w:tcPr>
          <w:p w:rsidR="008A1C13" w:rsidRPr="009E2503" w:rsidRDefault="00D159F4" w:rsidP="008A1C13">
            <w:pPr>
              <w:pStyle w:val="Marginale"/>
              <w:rPr>
                <w:rFonts w:cs="Arial"/>
                <w:iCs/>
                <w:lang w:val="fr-CH"/>
              </w:rPr>
            </w:pPr>
            <w:r w:rsidRPr="009E2503">
              <w:rPr>
                <w:rFonts w:cs="Arial"/>
                <w:iCs/>
                <w:lang w:val="fr-CH"/>
              </w:rPr>
              <w:t>Notification des violations de la protection des données</w:t>
            </w:r>
          </w:p>
          <w:p w:rsidR="008A1C13" w:rsidRPr="009E2503" w:rsidRDefault="008A1C13" w:rsidP="008A1C13">
            <w:pPr>
              <w:pStyle w:val="Marginale"/>
              <w:rPr>
                <w:rFonts w:cs="Arial"/>
                <w:iCs/>
                <w:lang w:val="fr-CH"/>
              </w:rPr>
            </w:pPr>
            <w:r w:rsidRPr="009E2503">
              <w:rPr>
                <w:rFonts w:cs="Arial"/>
                <w:iCs/>
                <w:lang w:val="fr-CH"/>
              </w:rPr>
              <w:t xml:space="preserve">1. </w:t>
            </w:r>
            <w:r w:rsidR="00D159F4" w:rsidRPr="009E2503">
              <w:rPr>
                <w:rFonts w:cs="Arial"/>
                <w:iCs/>
                <w:lang w:val="fr-CH"/>
              </w:rPr>
              <w:t>à l’autorité de surveillance</w:t>
            </w:r>
          </w:p>
          <w:p w:rsidR="008A1C13" w:rsidRPr="009E2503" w:rsidRDefault="008A1C13" w:rsidP="009616B3">
            <w:pPr>
              <w:pStyle w:val="Marginale"/>
              <w:rPr>
                <w:rFonts w:cs="Arial"/>
                <w:iCs/>
                <w:lang w:val="fr-CH"/>
              </w:rPr>
            </w:pPr>
          </w:p>
        </w:tc>
        <w:tc>
          <w:tcPr>
            <w:tcW w:w="7326" w:type="dxa"/>
            <w:gridSpan w:val="2"/>
            <w:tcBorders>
              <w:top w:val="nil"/>
              <w:left w:val="nil"/>
              <w:bottom w:val="nil"/>
              <w:right w:val="nil"/>
            </w:tcBorders>
          </w:tcPr>
          <w:p w:rsidR="008A1C13" w:rsidRPr="00FD09FA" w:rsidRDefault="008A1C13" w:rsidP="008A1C13">
            <w:pPr>
              <w:overflowPunct/>
              <w:textAlignment w:val="auto"/>
              <w:rPr>
                <w:rFonts w:cs="Arial"/>
                <w:szCs w:val="22"/>
                <w:lang w:val="fr-CH"/>
              </w:rPr>
            </w:pPr>
            <w:r w:rsidRPr="00FD09FA">
              <w:rPr>
                <w:rFonts w:cs="Arial"/>
                <w:b/>
                <w:bCs/>
                <w:szCs w:val="22"/>
                <w:lang w:val="fr-CH"/>
              </w:rPr>
              <w:t>Art. 7</w:t>
            </w:r>
            <w:r w:rsidRPr="00FD09FA">
              <w:rPr>
                <w:rFonts w:cs="Arial"/>
                <w:bCs/>
                <w:szCs w:val="22"/>
                <w:lang w:val="fr-CH"/>
              </w:rPr>
              <w:t xml:space="preserve"> </w:t>
            </w:r>
            <w:r w:rsidRPr="00FD09FA">
              <w:rPr>
                <w:vertAlign w:val="superscript"/>
                <w:lang w:val="fr-CH"/>
              </w:rPr>
              <w:t>1</w:t>
            </w:r>
            <w:r w:rsidR="00FD09FA" w:rsidRPr="009E2503">
              <w:rPr>
                <w:rFonts w:cs="Arial"/>
                <w:szCs w:val="22"/>
                <w:lang w:val="fr-CH"/>
              </w:rPr>
              <w:t xml:space="preserve"> </w:t>
            </w:r>
            <w:r w:rsidR="00355D6A" w:rsidRPr="00FD09FA">
              <w:rPr>
                <w:rFonts w:cs="Arial"/>
                <w:szCs w:val="22"/>
                <w:lang w:val="fr-CH"/>
              </w:rPr>
              <w:t>En cas de violation de la protection des données, l’autorité responsable la notifie sans délai à l’autorité de surveillance compétente en matière de protection des données (autorité de surveillance), soit si possible dans un délai de 72</w:t>
            </w:r>
            <w:r w:rsidR="00FD09FA" w:rsidRPr="00FD09FA">
              <w:rPr>
                <w:rFonts w:cs="Arial"/>
                <w:szCs w:val="22"/>
                <w:lang w:val="fr-CH"/>
              </w:rPr>
              <w:t> </w:t>
            </w:r>
            <w:r w:rsidR="00355D6A" w:rsidRPr="00FD09FA">
              <w:rPr>
                <w:rFonts w:cs="Arial"/>
                <w:szCs w:val="22"/>
                <w:lang w:val="fr-CH"/>
              </w:rPr>
              <w:t>heures au plus tard.</w:t>
            </w:r>
            <w:r w:rsidRPr="00FD09FA">
              <w:rPr>
                <w:rFonts w:cs="Arial"/>
                <w:szCs w:val="22"/>
                <w:lang w:val="fr-CH"/>
              </w:rPr>
              <w:t xml:space="preserve"> </w:t>
            </w:r>
            <w:r w:rsidR="00355D6A" w:rsidRPr="00FD09FA">
              <w:rPr>
                <w:rFonts w:cs="Arial"/>
                <w:szCs w:val="22"/>
                <w:lang w:val="fr-CH"/>
              </w:rPr>
              <w:t>La notification décrit la nature de la violation et ses conséquences, de même que les mesures prises et prévues pour remédier à la violation et en atténuer les effets.</w:t>
            </w:r>
          </w:p>
          <w:p w:rsidR="008A1C13" w:rsidRPr="00FD09FA" w:rsidRDefault="008A1C13" w:rsidP="008A1C13">
            <w:pPr>
              <w:overflowPunct/>
              <w:textAlignment w:val="auto"/>
              <w:rPr>
                <w:rFonts w:cs="Arial"/>
                <w:szCs w:val="22"/>
                <w:lang w:val="fr-CH"/>
              </w:rPr>
            </w:pPr>
          </w:p>
          <w:p w:rsidR="008A1C13" w:rsidRPr="00FD09FA" w:rsidRDefault="008A1C13" w:rsidP="008A1C13">
            <w:pPr>
              <w:overflowPunct/>
              <w:textAlignment w:val="auto"/>
              <w:rPr>
                <w:rFonts w:cs="Arial"/>
                <w:szCs w:val="22"/>
                <w:lang w:val="fr-CH"/>
              </w:rPr>
            </w:pPr>
            <w:r w:rsidRPr="00FD09FA">
              <w:rPr>
                <w:vertAlign w:val="superscript"/>
                <w:lang w:val="fr-CH"/>
              </w:rPr>
              <w:t>2</w:t>
            </w:r>
            <w:r w:rsidRPr="00FD09FA">
              <w:rPr>
                <w:rFonts w:cs="Arial"/>
                <w:szCs w:val="22"/>
                <w:lang w:val="fr-CH"/>
              </w:rPr>
              <w:t xml:space="preserve"> </w:t>
            </w:r>
            <w:r w:rsidR="00ED16BE" w:rsidRPr="00FD09FA">
              <w:rPr>
                <w:rFonts w:cs="Arial"/>
                <w:szCs w:val="22"/>
                <w:lang w:val="fr-CH"/>
              </w:rPr>
              <w:t>Est qualifié de violation tout traitement des données personnelles portant atteinte à leur sécurité à tel point qu’elles sont définitivement détruites ou perdues, altérées ou divulguées de manière accidentelle ou illicite ou qu’il permet un accès non autorisé à ces données.</w:t>
            </w:r>
          </w:p>
          <w:p w:rsidR="008A1C13" w:rsidRPr="00FD09FA" w:rsidRDefault="008A1C13" w:rsidP="008A1C13">
            <w:pPr>
              <w:overflowPunct/>
              <w:textAlignment w:val="auto"/>
              <w:rPr>
                <w:rFonts w:cs="Arial"/>
                <w:szCs w:val="22"/>
                <w:lang w:val="fr-CH"/>
              </w:rPr>
            </w:pPr>
          </w:p>
          <w:p w:rsidR="008A1C13" w:rsidRPr="00FD09FA" w:rsidRDefault="008A1C13" w:rsidP="008A1C13">
            <w:pPr>
              <w:rPr>
                <w:rFonts w:cs="Arial"/>
                <w:szCs w:val="22"/>
                <w:lang w:val="fr-CH"/>
              </w:rPr>
            </w:pPr>
            <w:r w:rsidRPr="00FD09FA">
              <w:rPr>
                <w:vertAlign w:val="superscript"/>
                <w:lang w:val="fr-CH"/>
              </w:rPr>
              <w:t>3</w:t>
            </w:r>
            <w:r w:rsidRPr="00FD09FA">
              <w:rPr>
                <w:rFonts w:cs="Arial"/>
                <w:szCs w:val="22"/>
                <w:lang w:val="fr-CH"/>
              </w:rPr>
              <w:t xml:space="preserve"> </w:t>
            </w:r>
            <w:r w:rsidR="00ED16BE" w:rsidRPr="00FD09FA">
              <w:rPr>
                <w:rFonts w:cs="Arial"/>
                <w:szCs w:val="22"/>
                <w:lang w:val="fr-CH"/>
              </w:rPr>
              <w:t>La violation de la protection des données n’est pas soumise à l’obligation d’informer lorsqu’elle ne présente probablement pas de risque pour les droits fondamentaux de la personne concernée</w:t>
            </w:r>
            <w:r w:rsidRPr="00FD09FA">
              <w:rPr>
                <w:rFonts w:cs="Arial"/>
                <w:szCs w:val="22"/>
                <w:lang w:val="fr-CH"/>
              </w:rPr>
              <w:t>.</w:t>
            </w:r>
          </w:p>
          <w:p w:rsidR="008A1C13" w:rsidRPr="00FD09FA" w:rsidRDefault="008A1C13" w:rsidP="00733BAE">
            <w:pPr>
              <w:overflowPunct/>
              <w:textAlignment w:val="auto"/>
              <w:rPr>
                <w:rFonts w:cs="Arial"/>
                <w:b/>
                <w:bCs/>
                <w:szCs w:val="22"/>
                <w:lang w:val="fr-CH"/>
              </w:rPr>
            </w:pPr>
          </w:p>
        </w:tc>
      </w:tr>
      <w:tr w:rsidR="00CD0670" w:rsidRPr="00E02DB8">
        <w:tc>
          <w:tcPr>
            <w:tcW w:w="2338" w:type="dxa"/>
            <w:tcBorders>
              <w:top w:val="nil"/>
              <w:left w:val="nil"/>
              <w:bottom w:val="nil"/>
              <w:right w:val="nil"/>
            </w:tcBorders>
          </w:tcPr>
          <w:p w:rsidR="00CD0670" w:rsidRPr="009E2503" w:rsidRDefault="00CD0670" w:rsidP="00CD0670">
            <w:pPr>
              <w:pStyle w:val="Marginale"/>
              <w:rPr>
                <w:rFonts w:cs="Arial"/>
                <w:iCs/>
                <w:lang w:val="fr-CH"/>
              </w:rPr>
            </w:pPr>
            <w:r w:rsidRPr="009E2503">
              <w:rPr>
                <w:rFonts w:cs="Arial"/>
                <w:iCs/>
                <w:lang w:val="fr-CH"/>
              </w:rPr>
              <w:t xml:space="preserve">2. </w:t>
            </w:r>
            <w:r w:rsidR="00165F15" w:rsidRPr="009E2503">
              <w:rPr>
                <w:rFonts w:cs="Arial"/>
                <w:iCs/>
                <w:lang w:val="fr-CH"/>
              </w:rPr>
              <w:t>aux personnes concernées</w:t>
            </w:r>
          </w:p>
          <w:p w:rsidR="00CD0670" w:rsidRPr="009E2503" w:rsidRDefault="00CD0670" w:rsidP="009616B3">
            <w:pPr>
              <w:pStyle w:val="Marginale"/>
              <w:rPr>
                <w:rFonts w:cs="Arial"/>
                <w:iCs/>
                <w:lang w:val="fr-CH"/>
              </w:rPr>
            </w:pPr>
          </w:p>
        </w:tc>
        <w:tc>
          <w:tcPr>
            <w:tcW w:w="7326" w:type="dxa"/>
            <w:gridSpan w:val="2"/>
            <w:tcBorders>
              <w:top w:val="nil"/>
              <w:left w:val="nil"/>
              <w:bottom w:val="nil"/>
              <w:right w:val="nil"/>
            </w:tcBorders>
          </w:tcPr>
          <w:p w:rsidR="00CD0670" w:rsidRPr="00FD09FA" w:rsidRDefault="00CD0670" w:rsidP="00CD0670">
            <w:pPr>
              <w:overflowPunct/>
              <w:textAlignment w:val="auto"/>
              <w:rPr>
                <w:rFonts w:cs="Arial"/>
                <w:szCs w:val="22"/>
                <w:lang w:val="fr-CH"/>
              </w:rPr>
            </w:pPr>
            <w:r w:rsidRPr="00FD09FA">
              <w:rPr>
                <w:rFonts w:cs="Arial"/>
                <w:b/>
                <w:bCs/>
                <w:szCs w:val="22"/>
                <w:lang w:val="fr-CH"/>
              </w:rPr>
              <w:t>Art. 8</w:t>
            </w:r>
            <w:r w:rsidRPr="00FD09FA">
              <w:rPr>
                <w:rFonts w:cs="Arial"/>
                <w:bCs/>
                <w:szCs w:val="22"/>
                <w:lang w:val="fr-CH"/>
              </w:rPr>
              <w:t xml:space="preserve"> </w:t>
            </w:r>
            <w:r w:rsidRPr="00FD09FA">
              <w:rPr>
                <w:vertAlign w:val="superscript"/>
                <w:lang w:val="fr-CH"/>
              </w:rPr>
              <w:t>1</w:t>
            </w:r>
            <w:r w:rsidRPr="00FD09FA">
              <w:rPr>
                <w:rFonts w:cs="Arial"/>
                <w:szCs w:val="22"/>
                <w:lang w:val="fr-CH"/>
              </w:rPr>
              <w:t xml:space="preserve"> </w:t>
            </w:r>
            <w:r w:rsidR="00F57F6F" w:rsidRPr="00FD09FA">
              <w:rPr>
                <w:rFonts w:cs="Arial"/>
                <w:szCs w:val="22"/>
                <w:lang w:val="fr-CH"/>
              </w:rPr>
              <w:t>L’autorité responsable informe les personnes concernées lorsque les circonstances l’exigent ou que l’autorité de surveillance l’impose. Il convient d’informer les personnes concernées en particulier lorsqu'elles peuvent ainsi prendre les dispositions nécessaires pour prévenir un dommage.</w:t>
            </w:r>
          </w:p>
          <w:p w:rsidR="00CD0670" w:rsidRPr="00FD09FA" w:rsidRDefault="00CD0670" w:rsidP="00CD0670">
            <w:pPr>
              <w:overflowPunct/>
              <w:textAlignment w:val="auto"/>
              <w:rPr>
                <w:rFonts w:cs="Arial"/>
                <w:szCs w:val="22"/>
                <w:lang w:val="fr-CH"/>
              </w:rPr>
            </w:pPr>
          </w:p>
          <w:p w:rsidR="00CD0670" w:rsidRPr="00FD09FA" w:rsidRDefault="00CD0670" w:rsidP="00CD0670">
            <w:pPr>
              <w:overflowPunct/>
              <w:textAlignment w:val="auto"/>
              <w:rPr>
                <w:rFonts w:cs="Arial"/>
                <w:szCs w:val="22"/>
                <w:lang w:val="fr-CH"/>
              </w:rPr>
            </w:pPr>
            <w:r w:rsidRPr="00FD09FA">
              <w:rPr>
                <w:vertAlign w:val="superscript"/>
                <w:lang w:val="fr-CH"/>
              </w:rPr>
              <w:t>2</w:t>
            </w:r>
            <w:r w:rsidRPr="00FD09FA">
              <w:rPr>
                <w:rFonts w:cs="Arial"/>
                <w:szCs w:val="22"/>
                <w:lang w:val="fr-CH"/>
              </w:rPr>
              <w:t xml:space="preserve"> </w:t>
            </w:r>
            <w:r w:rsidR="00F57F6F" w:rsidRPr="00FD09FA">
              <w:rPr>
                <w:rFonts w:cs="Arial"/>
                <w:szCs w:val="22"/>
                <w:lang w:val="fr-CH"/>
              </w:rPr>
              <w:t>Il peut être renoncé à la communication</w:t>
            </w:r>
          </w:p>
          <w:p w:rsidR="00CD0670" w:rsidRPr="00FD09FA" w:rsidRDefault="00FD09FA" w:rsidP="00FD09FA">
            <w:pPr>
              <w:tabs>
                <w:tab w:val="left" w:pos="206"/>
              </w:tabs>
              <w:overflowPunct/>
              <w:textAlignment w:val="auto"/>
              <w:rPr>
                <w:rFonts w:cs="Arial"/>
                <w:szCs w:val="22"/>
                <w:lang w:val="fr-CH"/>
              </w:rPr>
            </w:pPr>
            <w:proofErr w:type="gramStart"/>
            <w:r>
              <w:rPr>
                <w:rFonts w:cs="Arial"/>
                <w:i/>
                <w:iCs/>
                <w:szCs w:val="22"/>
                <w:lang w:val="fr-CH"/>
              </w:rPr>
              <w:t>a</w:t>
            </w:r>
            <w:proofErr w:type="gramEnd"/>
            <w:r>
              <w:rPr>
                <w:rFonts w:cs="Arial"/>
                <w:i/>
                <w:iCs/>
                <w:szCs w:val="22"/>
                <w:lang w:val="fr-CH"/>
              </w:rPr>
              <w:tab/>
            </w:r>
            <w:r w:rsidR="00E90DBF" w:rsidRPr="00FD09FA">
              <w:rPr>
                <w:rFonts w:cs="Arial"/>
                <w:szCs w:val="22"/>
                <w:lang w:val="fr-CH"/>
              </w:rPr>
              <w:t xml:space="preserve">lorsque l’autorité responsable a adopté les mesures de protection </w:t>
            </w:r>
            <w:r>
              <w:rPr>
                <w:rFonts w:cs="Arial"/>
                <w:szCs w:val="22"/>
                <w:lang w:val="fr-CH"/>
              </w:rPr>
              <w:tab/>
            </w:r>
            <w:r w:rsidR="00E90DBF" w:rsidRPr="00FD09FA">
              <w:rPr>
                <w:rFonts w:cs="Arial"/>
                <w:szCs w:val="22"/>
                <w:lang w:val="fr-CH"/>
              </w:rPr>
              <w:t xml:space="preserve">techniques et organisationnelles appropriées pour éviter que </w:t>
            </w:r>
            <w:r>
              <w:rPr>
                <w:rFonts w:cs="Arial"/>
                <w:szCs w:val="22"/>
                <w:lang w:val="fr-CH"/>
              </w:rPr>
              <w:tab/>
            </w:r>
            <w:r w:rsidR="00E90DBF" w:rsidRPr="00FD09FA">
              <w:rPr>
                <w:rFonts w:cs="Arial"/>
                <w:szCs w:val="22"/>
                <w:lang w:val="fr-CH"/>
              </w:rPr>
              <w:t>l’événement ne porte concrètement atteinte à la personne concernée;</w:t>
            </w:r>
          </w:p>
          <w:p w:rsidR="00CD0670" w:rsidRPr="00FD09FA" w:rsidRDefault="00CD0670" w:rsidP="00FD09FA">
            <w:pPr>
              <w:tabs>
                <w:tab w:val="left" w:pos="228"/>
              </w:tabs>
              <w:overflowPunct/>
              <w:textAlignment w:val="auto"/>
              <w:rPr>
                <w:rFonts w:cs="Arial"/>
                <w:szCs w:val="22"/>
                <w:lang w:val="fr-CH"/>
              </w:rPr>
            </w:pPr>
            <w:proofErr w:type="gramStart"/>
            <w:r w:rsidRPr="00FD09FA">
              <w:rPr>
                <w:rFonts w:cs="Arial"/>
                <w:i/>
                <w:iCs/>
                <w:szCs w:val="22"/>
                <w:lang w:val="fr-CH"/>
              </w:rPr>
              <w:t>b</w:t>
            </w:r>
            <w:proofErr w:type="gramEnd"/>
            <w:r w:rsidR="00FD09FA">
              <w:rPr>
                <w:rFonts w:cs="Arial"/>
                <w:i/>
                <w:iCs/>
                <w:szCs w:val="22"/>
                <w:lang w:val="fr-CH"/>
              </w:rPr>
              <w:tab/>
            </w:r>
            <w:r w:rsidR="00E90DBF" w:rsidRPr="00FD09FA">
              <w:rPr>
                <w:rFonts w:cs="Arial"/>
                <w:szCs w:val="22"/>
                <w:lang w:val="fr-CH"/>
              </w:rPr>
              <w:t xml:space="preserve">lorsque les mesures prises ultérieurement garantissent que le risque </w:t>
            </w:r>
            <w:r w:rsidR="00FD09FA">
              <w:rPr>
                <w:rFonts w:cs="Arial"/>
                <w:szCs w:val="22"/>
                <w:lang w:val="fr-CH"/>
              </w:rPr>
              <w:tab/>
            </w:r>
            <w:r w:rsidR="00E90DBF" w:rsidRPr="00FD09FA">
              <w:rPr>
                <w:rFonts w:cs="Arial"/>
                <w:szCs w:val="22"/>
                <w:lang w:val="fr-CH"/>
              </w:rPr>
              <w:t xml:space="preserve">élevé pour les droits fondamentaux des personnes concernées n’est </w:t>
            </w:r>
            <w:r w:rsidR="00FD09FA">
              <w:rPr>
                <w:rFonts w:cs="Arial"/>
                <w:szCs w:val="22"/>
                <w:lang w:val="fr-CH"/>
              </w:rPr>
              <w:tab/>
            </w:r>
            <w:r w:rsidR="00E90DBF" w:rsidRPr="00FD09FA">
              <w:rPr>
                <w:rFonts w:cs="Arial"/>
                <w:szCs w:val="22"/>
                <w:lang w:val="fr-CH"/>
              </w:rPr>
              <w:t>selon toute probabilité plus susceptible de se matérialiser ou</w:t>
            </w:r>
          </w:p>
          <w:p w:rsidR="00CD0670" w:rsidRPr="00FD09FA" w:rsidRDefault="00CD0670" w:rsidP="00FD09FA">
            <w:pPr>
              <w:tabs>
                <w:tab w:val="left" w:pos="217"/>
              </w:tabs>
              <w:overflowPunct/>
              <w:textAlignment w:val="auto"/>
              <w:rPr>
                <w:rFonts w:cs="Arial"/>
                <w:szCs w:val="22"/>
                <w:lang w:val="fr-CH"/>
              </w:rPr>
            </w:pPr>
            <w:proofErr w:type="gramStart"/>
            <w:r w:rsidRPr="00FD09FA">
              <w:rPr>
                <w:rFonts w:cs="Arial"/>
                <w:i/>
                <w:iCs/>
                <w:szCs w:val="22"/>
                <w:lang w:val="fr-CH"/>
              </w:rPr>
              <w:t>c</w:t>
            </w:r>
            <w:proofErr w:type="gramEnd"/>
            <w:r w:rsidR="00FD09FA">
              <w:rPr>
                <w:rFonts w:cs="Arial"/>
                <w:i/>
                <w:iCs/>
                <w:szCs w:val="22"/>
                <w:lang w:val="fr-CH"/>
              </w:rPr>
              <w:tab/>
            </w:r>
            <w:r w:rsidR="00E90DBF" w:rsidRPr="00FD09FA">
              <w:rPr>
                <w:rFonts w:cs="Arial"/>
                <w:szCs w:val="22"/>
                <w:lang w:val="fr-CH"/>
              </w:rPr>
              <w:t xml:space="preserve">lorsqu’elle nécessite des efforts disproportionnés, auquel cas la </w:t>
            </w:r>
            <w:r w:rsidR="00FD09FA">
              <w:rPr>
                <w:rFonts w:cs="Arial"/>
                <w:szCs w:val="22"/>
                <w:lang w:val="fr-CH"/>
              </w:rPr>
              <w:tab/>
            </w:r>
            <w:r w:rsidR="00E90DBF" w:rsidRPr="00FD09FA">
              <w:rPr>
                <w:rFonts w:cs="Arial"/>
                <w:szCs w:val="22"/>
                <w:lang w:val="fr-CH"/>
              </w:rPr>
              <w:t>communication prend la forme d’une publication.</w:t>
            </w:r>
          </w:p>
          <w:p w:rsidR="00CD0670" w:rsidRPr="00FD09FA" w:rsidRDefault="00CD0670" w:rsidP="00CD0670">
            <w:pPr>
              <w:overflowPunct/>
              <w:textAlignment w:val="auto"/>
              <w:rPr>
                <w:rFonts w:cs="Arial"/>
                <w:szCs w:val="22"/>
                <w:lang w:val="fr-CH"/>
              </w:rPr>
            </w:pPr>
          </w:p>
          <w:p w:rsidR="00CD0670" w:rsidRPr="00FD09FA" w:rsidRDefault="00CD0670" w:rsidP="00CD0670">
            <w:pPr>
              <w:rPr>
                <w:rFonts w:cs="Arial"/>
                <w:szCs w:val="22"/>
                <w:lang w:val="fr-CH"/>
              </w:rPr>
            </w:pPr>
            <w:r w:rsidRPr="00FD09FA">
              <w:rPr>
                <w:vertAlign w:val="superscript"/>
                <w:lang w:val="fr-CH"/>
              </w:rPr>
              <w:t>3</w:t>
            </w:r>
            <w:r w:rsidRPr="00FD09FA">
              <w:rPr>
                <w:rFonts w:cs="Arial"/>
                <w:szCs w:val="22"/>
                <w:lang w:val="fr-CH"/>
              </w:rPr>
              <w:t xml:space="preserve"> </w:t>
            </w:r>
            <w:r w:rsidR="009F4878" w:rsidRPr="00FD09FA">
              <w:rPr>
                <w:rFonts w:cs="Arial"/>
                <w:szCs w:val="22"/>
                <w:lang w:val="fr-CH"/>
              </w:rPr>
              <w:t>Il est en outre possible de limiter entièrement ou partiellement la communication aux personnes concernées ou de la retarder en présence d’intérêts privés ou publics prépondérants au maintien du secret.</w:t>
            </w:r>
          </w:p>
          <w:p w:rsidR="00CD0670" w:rsidRPr="00FD09FA" w:rsidRDefault="00CD0670" w:rsidP="00733BAE">
            <w:pPr>
              <w:overflowPunct/>
              <w:textAlignment w:val="auto"/>
              <w:rPr>
                <w:rFonts w:cs="Arial"/>
                <w:b/>
                <w:bCs/>
                <w:szCs w:val="22"/>
                <w:lang w:val="fr-CH"/>
              </w:rPr>
            </w:pPr>
          </w:p>
        </w:tc>
      </w:tr>
      <w:tr w:rsidR="00CD0670" w:rsidRPr="00602C61">
        <w:tc>
          <w:tcPr>
            <w:tcW w:w="2338" w:type="dxa"/>
            <w:tcBorders>
              <w:top w:val="nil"/>
              <w:left w:val="nil"/>
              <w:bottom w:val="nil"/>
              <w:right w:val="nil"/>
            </w:tcBorders>
          </w:tcPr>
          <w:p w:rsidR="00CD0670" w:rsidRPr="009E2503" w:rsidRDefault="00CD0670" w:rsidP="00CD0670">
            <w:pPr>
              <w:pStyle w:val="Marginale"/>
              <w:rPr>
                <w:rFonts w:cs="Arial"/>
                <w:iCs/>
                <w:lang w:val="fr-CH"/>
              </w:rPr>
            </w:pPr>
            <w:r w:rsidRPr="009E2503">
              <w:rPr>
                <w:rFonts w:cs="Arial"/>
                <w:iCs/>
                <w:lang w:val="fr-CH"/>
              </w:rPr>
              <w:lastRenderedPageBreak/>
              <w:t xml:space="preserve">3. </w:t>
            </w:r>
            <w:r w:rsidR="009F4878" w:rsidRPr="009E2503">
              <w:rPr>
                <w:rFonts w:cs="Arial"/>
                <w:iCs/>
                <w:lang w:val="fr-CH"/>
              </w:rPr>
              <w:t>en cas de traitement sur mandat (art. 16 LCPD)</w:t>
            </w:r>
          </w:p>
          <w:p w:rsidR="00CD0670" w:rsidRPr="009E2503" w:rsidRDefault="00CD0670" w:rsidP="009616B3">
            <w:pPr>
              <w:pStyle w:val="Marginale"/>
              <w:rPr>
                <w:rFonts w:cs="Arial"/>
                <w:iCs/>
                <w:lang w:val="fr-CH"/>
              </w:rPr>
            </w:pPr>
          </w:p>
        </w:tc>
        <w:tc>
          <w:tcPr>
            <w:tcW w:w="7326" w:type="dxa"/>
            <w:gridSpan w:val="2"/>
            <w:tcBorders>
              <w:top w:val="nil"/>
              <w:left w:val="nil"/>
              <w:bottom w:val="nil"/>
              <w:right w:val="nil"/>
            </w:tcBorders>
          </w:tcPr>
          <w:p w:rsidR="00CD0670" w:rsidRPr="0096409E" w:rsidRDefault="00CD0670" w:rsidP="00CD0670">
            <w:pPr>
              <w:rPr>
                <w:rFonts w:cs="Arial"/>
                <w:szCs w:val="22"/>
                <w:lang w:val="fr-CH"/>
              </w:rPr>
            </w:pPr>
            <w:r w:rsidRPr="0096409E">
              <w:rPr>
                <w:rFonts w:cs="Arial"/>
                <w:b/>
                <w:bCs/>
                <w:szCs w:val="22"/>
                <w:lang w:val="fr-CH"/>
              </w:rPr>
              <w:t>Art. 9</w:t>
            </w:r>
            <w:r w:rsidRPr="0096409E">
              <w:rPr>
                <w:rFonts w:cs="Arial"/>
                <w:bCs/>
                <w:szCs w:val="22"/>
                <w:lang w:val="fr-CH"/>
              </w:rPr>
              <w:t xml:space="preserve"> </w:t>
            </w:r>
            <w:r w:rsidRPr="0096409E">
              <w:rPr>
                <w:vertAlign w:val="superscript"/>
                <w:lang w:val="fr-CH"/>
              </w:rPr>
              <w:t>1</w:t>
            </w:r>
            <w:r w:rsidRPr="0096409E">
              <w:rPr>
                <w:rFonts w:cs="Arial"/>
                <w:szCs w:val="22"/>
                <w:lang w:val="fr-CH"/>
              </w:rPr>
              <w:t xml:space="preserve"> </w:t>
            </w:r>
            <w:r w:rsidR="009F4878" w:rsidRPr="0096409E">
              <w:rPr>
                <w:rFonts w:cs="Arial"/>
                <w:szCs w:val="22"/>
                <w:lang w:val="fr-CH"/>
              </w:rPr>
              <w:t xml:space="preserve">Quiconque traite des données personnelles sur mandat d’une autorité informe immédiatement cette dernière de toute violation de la protection des données. L’article </w:t>
            </w:r>
            <w:r w:rsidR="00350A11">
              <w:rPr>
                <w:rFonts w:cs="Arial"/>
                <w:szCs w:val="22"/>
                <w:lang w:val="fr-CH"/>
              </w:rPr>
              <w:t>7,</w:t>
            </w:r>
            <w:r w:rsidR="009F4878" w:rsidRPr="0096409E">
              <w:rPr>
                <w:rFonts w:cs="Arial"/>
                <w:szCs w:val="22"/>
                <w:lang w:val="fr-CH"/>
              </w:rPr>
              <w:t xml:space="preserve"> alinéa 1, 2</w:t>
            </w:r>
            <w:r w:rsidR="009F4878" w:rsidRPr="0096409E">
              <w:rPr>
                <w:rFonts w:cs="Arial"/>
                <w:szCs w:val="22"/>
                <w:vertAlign w:val="superscript"/>
                <w:lang w:val="fr-CH"/>
              </w:rPr>
              <w:t>e</w:t>
            </w:r>
            <w:r w:rsidR="009F4878" w:rsidRPr="0096409E">
              <w:rPr>
                <w:rFonts w:cs="Arial"/>
                <w:szCs w:val="22"/>
                <w:lang w:val="fr-CH"/>
              </w:rPr>
              <w:t xml:space="preserve"> phrase et alinéa 2 s’applique par analogie.</w:t>
            </w:r>
          </w:p>
          <w:p w:rsidR="00CD0670" w:rsidRPr="0096409E" w:rsidRDefault="00CD0670" w:rsidP="00733BAE">
            <w:pPr>
              <w:overflowPunct/>
              <w:textAlignment w:val="auto"/>
              <w:rPr>
                <w:rFonts w:cs="Arial"/>
                <w:b/>
                <w:bCs/>
                <w:szCs w:val="22"/>
                <w:lang w:val="fr-CH"/>
              </w:rPr>
            </w:pPr>
          </w:p>
        </w:tc>
      </w:tr>
      <w:tr w:rsidR="00845279" w:rsidRPr="00E02DB8">
        <w:tc>
          <w:tcPr>
            <w:tcW w:w="2338" w:type="dxa"/>
            <w:tcBorders>
              <w:top w:val="nil"/>
              <w:left w:val="nil"/>
              <w:bottom w:val="nil"/>
              <w:right w:val="nil"/>
            </w:tcBorders>
          </w:tcPr>
          <w:p w:rsidR="00845279" w:rsidRPr="009E2503" w:rsidRDefault="009F4878" w:rsidP="008A1C13">
            <w:pPr>
              <w:pStyle w:val="Marginale"/>
              <w:rPr>
                <w:rFonts w:cs="Arial"/>
                <w:i/>
                <w:lang w:val="fr-CH"/>
              </w:rPr>
            </w:pPr>
            <w:r w:rsidRPr="009E2503">
              <w:rPr>
                <w:rFonts w:cs="Arial"/>
                <w:iCs/>
                <w:lang w:val="fr-CH"/>
              </w:rPr>
              <w:t>Dénonciations à l’autorité de surveillance (art. 34, al. 1, lit. </w:t>
            </w:r>
            <w:r w:rsidRPr="009E2503">
              <w:rPr>
                <w:rFonts w:cs="Arial"/>
                <w:i/>
                <w:iCs/>
                <w:lang w:val="fr-CH"/>
              </w:rPr>
              <w:t>d</w:t>
            </w:r>
            <w:r w:rsidRPr="009E2503">
              <w:rPr>
                <w:rFonts w:cs="Arial"/>
                <w:iCs/>
                <w:lang w:val="fr-CH"/>
              </w:rPr>
              <w:t> LCPD)</w:t>
            </w:r>
          </w:p>
        </w:tc>
        <w:tc>
          <w:tcPr>
            <w:tcW w:w="7326" w:type="dxa"/>
            <w:gridSpan w:val="2"/>
            <w:tcBorders>
              <w:top w:val="nil"/>
              <w:left w:val="nil"/>
              <w:bottom w:val="nil"/>
              <w:right w:val="nil"/>
            </w:tcBorders>
          </w:tcPr>
          <w:p w:rsidR="00733BAE" w:rsidRPr="0096409E" w:rsidRDefault="00E62A2B" w:rsidP="005A3CEE">
            <w:pPr>
              <w:overflowPunct/>
              <w:textAlignment w:val="auto"/>
              <w:rPr>
                <w:rFonts w:cs="Arial"/>
                <w:szCs w:val="22"/>
                <w:lang w:val="fr-CH"/>
              </w:rPr>
            </w:pPr>
            <w:r w:rsidRPr="0096409E">
              <w:rPr>
                <w:rFonts w:cs="Arial"/>
                <w:b/>
                <w:bCs/>
                <w:szCs w:val="22"/>
                <w:lang w:val="fr-CH"/>
              </w:rPr>
              <w:t>Art. 10</w:t>
            </w:r>
            <w:r w:rsidR="00733BAE" w:rsidRPr="0096409E">
              <w:rPr>
                <w:rFonts w:cs="Arial"/>
                <w:bCs/>
                <w:szCs w:val="22"/>
                <w:lang w:val="fr-CH"/>
              </w:rPr>
              <w:t xml:space="preserve"> </w:t>
            </w:r>
            <w:r w:rsidR="00733BAE" w:rsidRPr="0096409E">
              <w:rPr>
                <w:vertAlign w:val="superscript"/>
                <w:lang w:val="fr-CH"/>
              </w:rPr>
              <w:t>1</w:t>
            </w:r>
            <w:r w:rsidR="00733BAE" w:rsidRPr="0096409E">
              <w:rPr>
                <w:rFonts w:cs="Arial"/>
                <w:szCs w:val="22"/>
                <w:lang w:val="fr-CH"/>
              </w:rPr>
              <w:t xml:space="preserve"> </w:t>
            </w:r>
            <w:r w:rsidR="009F4878" w:rsidRPr="0096409E">
              <w:rPr>
                <w:rFonts w:cs="Arial"/>
                <w:szCs w:val="22"/>
                <w:lang w:val="fr-CH"/>
              </w:rPr>
              <w:t>L’autorité de surveillance informe les personnes concernées sur le résultat ou l’avancée de l’examen relatif à la dénonciation dans un délai maximal de trois mois après sa réception.</w:t>
            </w:r>
          </w:p>
          <w:p w:rsidR="006968C2" w:rsidRPr="0096409E" w:rsidRDefault="006968C2" w:rsidP="009616B3">
            <w:pPr>
              <w:rPr>
                <w:rFonts w:cs="Arial"/>
                <w:i/>
                <w:color w:val="FF0000"/>
                <w:szCs w:val="22"/>
                <w:lang w:val="fr-CH"/>
              </w:rPr>
            </w:pPr>
          </w:p>
        </w:tc>
      </w:tr>
      <w:tr w:rsidR="00D5031E" w:rsidRPr="00E02DB8" w:rsidTr="00093153">
        <w:tc>
          <w:tcPr>
            <w:tcW w:w="9664" w:type="dxa"/>
            <w:gridSpan w:val="3"/>
            <w:tcBorders>
              <w:top w:val="nil"/>
              <w:left w:val="nil"/>
              <w:bottom w:val="nil"/>
              <w:right w:val="nil"/>
            </w:tcBorders>
          </w:tcPr>
          <w:p w:rsidR="00D5031E" w:rsidRPr="00602C61" w:rsidRDefault="00B24D17" w:rsidP="00D5031E">
            <w:pPr>
              <w:ind w:left="72"/>
              <w:rPr>
                <w:b/>
                <w:highlight w:val="cyan"/>
                <w:lang w:val="fr-CH"/>
              </w:rPr>
            </w:pPr>
            <w:r w:rsidRPr="00602C61">
              <w:rPr>
                <w:b/>
                <w:kern w:val="28"/>
                <w:sz w:val="28"/>
                <w:lang w:val="fr-CH"/>
              </w:rPr>
              <w:t>Communication sur Internet et au moyen de services assimilables à Internet</w:t>
            </w:r>
            <w:r w:rsidR="005149F0">
              <w:rPr>
                <w:b/>
                <w:kern w:val="28"/>
                <w:sz w:val="28"/>
                <w:lang w:val="fr-CH"/>
              </w:rPr>
              <w:t xml:space="preserve"> </w:t>
            </w:r>
            <w:r w:rsidRPr="00602C61">
              <w:rPr>
                <w:b/>
                <w:kern w:val="28"/>
                <w:sz w:val="28"/>
                <w:lang w:val="fr-CH"/>
              </w:rPr>
              <w:t>d’informations qui sont accessibles au public et qui contiennent des données personnelles</w:t>
            </w:r>
          </w:p>
          <w:p w:rsidR="00D5031E" w:rsidRPr="00602C61" w:rsidRDefault="00D5031E">
            <w:pPr>
              <w:ind w:left="72"/>
              <w:rPr>
                <w:b/>
                <w:kern w:val="28"/>
                <w:sz w:val="28"/>
                <w:lang w:val="fr-CH"/>
              </w:rPr>
            </w:pPr>
          </w:p>
        </w:tc>
      </w:tr>
      <w:tr w:rsidR="00845279" w:rsidRPr="00E02DB8">
        <w:tc>
          <w:tcPr>
            <w:tcW w:w="2338" w:type="dxa"/>
            <w:tcBorders>
              <w:top w:val="nil"/>
              <w:left w:val="nil"/>
              <w:bottom w:val="nil"/>
              <w:right w:val="nil"/>
            </w:tcBorders>
          </w:tcPr>
          <w:p w:rsidR="00845279" w:rsidRPr="00602C61" w:rsidRDefault="00C103C8">
            <w:pPr>
              <w:pStyle w:val="Marginale"/>
              <w:rPr>
                <w:lang w:val="fr-CH"/>
              </w:rPr>
            </w:pPr>
            <w:r w:rsidRPr="00602C61">
              <w:rPr>
                <w:lang w:val="fr-CH"/>
              </w:rPr>
              <w:t>Compétence</w:t>
            </w:r>
          </w:p>
        </w:tc>
        <w:tc>
          <w:tcPr>
            <w:tcW w:w="7326" w:type="dxa"/>
            <w:gridSpan w:val="2"/>
            <w:tcBorders>
              <w:top w:val="nil"/>
              <w:left w:val="nil"/>
              <w:bottom w:val="nil"/>
              <w:right w:val="nil"/>
            </w:tcBorders>
          </w:tcPr>
          <w:p w:rsidR="00845279" w:rsidRPr="00602C61" w:rsidRDefault="00845279" w:rsidP="00A575C9">
            <w:pPr>
              <w:rPr>
                <w:lang w:val="fr-CH"/>
              </w:rPr>
            </w:pPr>
            <w:r w:rsidRPr="00660ED7">
              <w:rPr>
                <w:b/>
                <w:lang w:val="fr-CH"/>
              </w:rPr>
              <w:t xml:space="preserve">Art. </w:t>
            </w:r>
            <w:r w:rsidR="00D5031E" w:rsidRPr="00660ED7">
              <w:rPr>
                <w:b/>
                <w:lang w:val="fr-CH"/>
              </w:rPr>
              <w:t>1</w:t>
            </w:r>
            <w:r w:rsidR="00E62A2B" w:rsidRPr="00660ED7">
              <w:rPr>
                <w:b/>
                <w:lang w:val="fr-CH"/>
              </w:rPr>
              <w:t>1</w:t>
            </w:r>
            <w:r w:rsidRPr="00602C61">
              <w:rPr>
                <w:lang w:val="fr-CH"/>
              </w:rPr>
              <w:t xml:space="preserve"> </w:t>
            </w:r>
            <w:r w:rsidR="00C103C8" w:rsidRPr="00602C61">
              <w:rPr>
                <w:lang w:val="fr-CH"/>
              </w:rPr>
              <w:t xml:space="preserve">Le service compétent pour communiquer les informations est </w:t>
            </w:r>
            <w:proofErr w:type="gramStart"/>
            <w:r w:rsidR="00C103C8" w:rsidRPr="00602C61">
              <w:rPr>
                <w:lang w:val="fr-CH"/>
              </w:rPr>
              <w:t>... .</w:t>
            </w:r>
            <w:proofErr w:type="gramEnd"/>
          </w:p>
          <w:p w:rsidR="00386C29" w:rsidRPr="00602C61" w:rsidRDefault="00386C29" w:rsidP="0038788D">
            <w:pPr>
              <w:rPr>
                <w:i/>
                <w:color w:val="FF0000"/>
                <w:sz w:val="20"/>
                <w:lang w:val="fr-CH"/>
              </w:rPr>
            </w:pPr>
          </w:p>
        </w:tc>
      </w:tr>
      <w:tr w:rsidR="0096775F" w:rsidRPr="00E02DB8">
        <w:trPr>
          <w:gridAfter w:val="1"/>
          <w:wAfter w:w="2338" w:type="dxa"/>
        </w:trPr>
        <w:tc>
          <w:tcPr>
            <w:tcW w:w="7326" w:type="dxa"/>
            <w:gridSpan w:val="2"/>
            <w:tcBorders>
              <w:top w:val="nil"/>
              <w:left w:val="nil"/>
              <w:bottom w:val="nil"/>
              <w:right w:val="nil"/>
            </w:tcBorders>
          </w:tcPr>
          <w:p w:rsidR="0096775F" w:rsidRPr="00602C61" w:rsidRDefault="0096775F" w:rsidP="0096775F">
            <w:pPr>
              <w:rPr>
                <w:lang w:val="fr-CH"/>
              </w:rPr>
            </w:pPr>
          </w:p>
        </w:tc>
      </w:tr>
      <w:tr w:rsidR="0005417F" w:rsidRPr="00E02DB8">
        <w:tc>
          <w:tcPr>
            <w:tcW w:w="2338" w:type="dxa"/>
            <w:tcBorders>
              <w:top w:val="nil"/>
              <w:left w:val="nil"/>
              <w:bottom w:val="nil"/>
              <w:right w:val="nil"/>
            </w:tcBorders>
          </w:tcPr>
          <w:p w:rsidR="0005417F" w:rsidRPr="00602C61" w:rsidRDefault="00C103C8" w:rsidP="0033749E">
            <w:pPr>
              <w:pStyle w:val="Marginale"/>
              <w:rPr>
                <w:lang w:val="fr-CH"/>
              </w:rPr>
            </w:pPr>
            <w:r w:rsidRPr="00602C61">
              <w:rPr>
                <w:lang w:val="fr-CH"/>
              </w:rPr>
              <w:t>Mise en ligne et durée de la publication</w:t>
            </w:r>
          </w:p>
        </w:tc>
        <w:tc>
          <w:tcPr>
            <w:tcW w:w="7326" w:type="dxa"/>
            <w:gridSpan w:val="2"/>
            <w:tcBorders>
              <w:top w:val="nil"/>
              <w:left w:val="nil"/>
              <w:bottom w:val="nil"/>
              <w:right w:val="nil"/>
            </w:tcBorders>
          </w:tcPr>
          <w:p w:rsidR="009616B3" w:rsidRPr="00602C61" w:rsidRDefault="0005417F" w:rsidP="00A575C9">
            <w:pPr>
              <w:rPr>
                <w:i/>
                <w:color w:val="FF0000"/>
                <w:sz w:val="20"/>
                <w:lang w:val="fr-CH"/>
              </w:rPr>
            </w:pPr>
            <w:r w:rsidRPr="00660ED7">
              <w:rPr>
                <w:b/>
                <w:szCs w:val="22"/>
                <w:lang w:val="fr-CH"/>
              </w:rPr>
              <w:t xml:space="preserve">Art. </w:t>
            </w:r>
            <w:proofErr w:type="gramStart"/>
            <w:r w:rsidR="00D5031E" w:rsidRPr="00660ED7">
              <w:rPr>
                <w:b/>
                <w:szCs w:val="22"/>
                <w:lang w:val="fr-CH"/>
              </w:rPr>
              <w:t>1</w:t>
            </w:r>
            <w:r w:rsidR="00E62A2B" w:rsidRPr="00660ED7">
              <w:rPr>
                <w:b/>
                <w:szCs w:val="22"/>
                <w:lang w:val="fr-CH"/>
              </w:rPr>
              <w:t>2</w:t>
            </w:r>
            <w:r w:rsidRPr="00602C61">
              <w:rPr>
                <w:szCs w:val="22"/>
                <w:lang w:val="fr-CH"/>
              </w:rPr>
              <w:t xml:space="preserve"> </w:t>
            </w:r>
            <w:r w:rsidR="00A20DDA" w:rsidRPr="00602C61">
              <w:rPr>
                <w:szCs w:val="22"/>
                <w:vertAlign w:val="superscript"/>
                <w:lang w:val="fr-CH"/>
              </w:rPr>
              <w:t xml:space="preserve"> </w:t>
            </w:r>
            <w:r w:rsidR="00C103C8" w:rsidRPr="00602C61">
              <w:rPr>
                <w:lang w:val="fr-CH"/>
              </w:rPr>
              <w:t>Les</w:t>
            </w:r>
            <w:proofErr w:type="gramEnd"/>
            <w:r w:rsidR="00C103C8" w:rsidRPr="00602C61">
              <w:rPr>
                <w:lang w:val="fr-CH"/>
              </w:rPr>
              <w:t xml:space="preserve"> informations au sens de l’article 1, alinéa 1</w:t>
            </w:r>
            <w:r w:rsidR="00660ED7">
              <w:rPr>
                <w:lang w:val="fr-CH"/>
              </w:rPr>
              <w:t>, 2</w:t>
            </w:r>
            <w:r w:rsidR="00660ED7" w:rsidRPr="00660ED7">
              <w:rPr>
                <w:vertAlign w:val="superscript"/>
                <w:lang w:val="fr-CH"/>
              </w:rPr>
              <w:t>e</w:t>
            </w:r>
            <w:r w:rsidR="00660ED7">
              <w:rPr>
                <w:lang w:val="fr-CH"/>
              </w:rPr>
              <w:t xml:space="preserve"> phrase</w:t>
            </w:r>
            <w:r w:rsidR="00C103C8" w:rsidRPr="00602C61">
              <w:rPr>
                <w:lang w:val="fr-CH"/>
              </w:rPr>
              <w:t xml:space="preserve"> sont publiées sur Internet pour une durée maximale de dix ans, sous réserve de prescriptions imposant un délai de conservation plus court.</w:t>
            </w:r>
          </w:p>
          <w:p w:rsidR="0005417F" w:rsidRPr="00602C61" w:rsidRDefault="0005417F" w:rsidP="0038788D">
            <w:pPr>
              <w:rPr>
                <w:lang w:val="fr-CH"/>
              </w:rPr>
            </w:pPr>
          </w:p>
        </w:tc>
      </w:tr>
    </w:tbl>
    <w:p w:rsidR="0005417F" w:rsidRPr="00602C61" w:rsidRDefault="0005417F" w:rsidP="0038788D">
      <w:pPr>
        <w:tabs>
          <w:tab w:val="left" w:pos="2475"/>
        </w:tabs>
        <w:rPr>
          <w:lang w:val="fr-CH"/>
        </w:rPr>
      </w:pPr>
    </w:p>
    <w:tbl>
      <w:tblPr>
        <w:tblW w:w="0" w:type="auto"/>
        <w:tblLayout w:type="fixed"/>
        <w:tblCellMar>
          <w:left w:w="70" w:type="dxa"/>
          <w:right w:w="70" w:type="dxa"/>
        </w:tblCellMar>
        <w:tblLook w:val="0000" w:firstRow="0" w:lastRow="0" w:firstColumn="0" w:lastColumn="0" w:noHBand="0" w:noVBand="0"/>
      </w:tblPr>
      <w:tblGrid>
        <w:gridCol w:w="2338"/>
        <w:gridCol w:w="7327"/>
      </w:tblGrid>
      <w:tr w:rsidR="00845279" w:rsidRPr="00E02DB8">
        <w:tc>
          <w:tcPr>
            <w:tcW w:w="2338" w:type="dxa"/>
            <w:tcBorders>
              <w:top w:val="nil"/>
              <w:left w:val="nil"/>
              <w:bottom w:val="nil"/>
              <w:right w:val="nil"/>
            </w:tcBorders>
          </w:tcPr>
          <w:p w:rsidR="00845279" w:rsidRPr="00602C61" w:rsidRDefault="00C103C8">
            <w:pPr>
              <w:pStyle w:val="Marginale"/>
              <w:rPr>
                <w:highlight w:val="cyan"/>
                <w:lang w:val="fr-CH"/>
              </w:rPr>
            </w:pPr>
            <w:r w:rsidRPr="00602C61">
              <w:rPr>
                <w:lang w:val="fr-CH"/>
              </w:rPr>
              <w:t>Protection des données</w:t>
            </w:r>
          </w:p>
        </w:tc>
        <w:tc>
          <w:tcPr>
            <w:tcW w:w="7326" w:type="dxa"/>
            <w:tcBorders>
              <w:top w:val="nil"/>
              <w:left w:val="nil"/>
              <w:bottom w:val="nil"/>
              <w:right w:val="nil"/>
            </w:tcBorders>
          </w:tcPr>
          <w:p w:rsidR="001A02DF" w:rsidRPr="00602C61" w:rsidRDefault="00845279" w:rsidP="00A575C9">
            <w:pPr>
              <w:tabs>
                <w:tab w:val="left" w:pos="356"/>
              </w:tabs>
              <w:rPr>
                <w:lang w:val="fr-CH"/>
              </w:rPr>
            </w:pPr>
            <w:r w:rsidRPr="00660ED7">
              <w:rPr>
                <w:b/>
                <w:lang w:val="fr-CH"/>
              </w:rPr>
              <w:t xml:space="preserve">Art. </w:t>
            </w:r>
            <w:r w:rsidR="00D5031E" w:rsidRPr="00660ED7">
              <w:rPr>
                <w:b/>
                <w:lang w:val="fr-CH"/>
              </w:rPr>
              <w:t>1</w:t>
            </w:r>
            <w:r w:rsidR="00E62A2B" w:rsidRPr="00660ED7">
              <w:rPr>
                <w:b/>
                <w:lang w:val="fr-CH"/>
              </w:rPr>
              <w:t>3</w:t>
            </w:r>
            <w:r w:rsidRPr="00660ED7">
              <w:rPr>
                <w:b/>
                <w:lang w:val="fr-CH"/>
              </w:rPr>
              <w:t xml:space="preserve"> </w:t>
            </w:r>
            <w:r w:rsidRPr="00602C61">
              <w:rPr>
                <w:vertAlign w:val="superscript"/>
                <w:lang w:val="fr-CH"/>
              </w:rPr>
              <w:t>1</w:t>
            </w:r>
            <w:r w:rsidRPr="00602C61">
              <w:rPr>
                <w:lang w:val="fr-CH"/>
              </w:rPr>
              <w:t xml:space="preserve"> </w:t>
            </w:r>
            <w:r w:rsidR="00896C0D" w:rsidRPr="00602C61">
              <w:rPr>
                <w:lang w:val="fr-CH"/>
              </w:rPr>
              <w:t xml:space="preserve">Avant de publier sur Internet des informations qui contiennent des données personnelles, le service compétent au sens de l’article 11 s’assure que  </w:t>
            </w:r>
          </w:p>
          <w:p w:rsidR="001A02DF" w:rsidRPr="00602C61" w:rsidRDefault="00215753" w:rsidP="000A705A">
            <w:pPr>
              <w:numPr>
                <w:ilvl w:val="0"/>
                <w:numId w:val="19"/>
              </w:numPr>
              <w:tabs>
                <w:tab w:val="clear" w:pos="432"/>
                <w:tab w:val="left" w:pos="214"/>
              </w:tabs>
              <w:ind w:left="0" w:firstLine="0"/>
              <w:rPr>
                <w:lang w:val="fr-CH"/>
              </w:rPr>
            </w:pPr>
            <w:proofErr w:type="gramStart"/>
            <w:r w:rsidRPr="00602C61">
              <w:rPr>
                <w:lang w:val="fr-CH"/>
              </w:rPr>
              <w:t>ces</w:t>
            </w:r>
            <w:proofErr w:type="gramEnd"/>
            <w:r w:rsidRPr="00602C61">
              <w:rPr>
                <w:lang w:val="fr-CH"/>
              </w:rPr>
              <w:t xml:space="preserve"> informations sont accessibles conformément à la législation sur </w:t>
            </w:r>
            <w:r w:rsidRPr="00602C61">
              <w:rPr>
                <w:lang w:val="fr-CH"/>
              </w:rPr>
              <w:tab/>
              <w:t>l’information;</w:t>
            </w:r>
          </w:p>
          <w:p w:rsidR="001A02DF" w:rsidRPr="00602C61" w:rsidRDefault="00215753" w:rsidP="000A705A">
            <w:pPr>
              <w:numPr>
                <w:ilvl w:val="0"/>
                <w:numId w:val="19"/>
              </w:numPr>
              <w:tabs>
                <w:tab w:val="clear" w:pos="432"/>
                <w:tab w:val="left" w:pos="214"/>
              </w:tabs>
              <w:ind w:left="0" w:firstLine="0"/>
              <w:rPr>
                <w:lang w:val="fr-CH"/>
              </w:rPr>
            </w:pPr>
            <w:proofErr w:type="gramStart"/>
            <w:r w:rsidRPr="00602C61">
              <w:rPr>
                <w:lang w:val="fr-CH"/>
              </w:rPr>
              <w:t>une</w:t>
            </w:r>
            <w:proofErr w:type="gramEnd"/>
            <w:r w:rsidRPr="00602C61">
              <w:rPr>
                <w:lang w:val="fr-CH"/>
              </w:rPr>
              <w:t xml:space="preserve"> information d’office au sens de la législation sur l’information est </w:t>
            </w:r>
            <w:r w:rsidRPr="00602C61">
              <w:rPr>
                <w:lang w:val="fr-CH"/>
              </w:rPr>
              <w:tab/>
              <w:t>admissible;</w:t>
            </w:r>
          </w:p>
          <w:p w:rsidR="00FE4050" w:rsidRDefault="00215753" w:rsidP="000A705A">
            <w:pPr>
              <w:numPr>
                <w:ilvl w:val="0"/>
                <w:numId w:val="19"/>
              </w:numPr>
              <w:tabs>
                <w:tab w:val="clear" w:pos="432"/>
                <w:tab w:val="left" w:pos="214"/>
              </w:tabs>
              <w:ind w:left="0" w:firstLine="0"/>
              <w:rPr>
                <w:lang w:val="fr-CH"/>
              </w:rPr>
            </w:pPr>
            <w:proofErr w:type="gramStart"/>
            <w:r w:rsidRPr="00602C61">
              <w:rPr>
                <w:lang w:val="fr-CH"/>
              </w:rPr>
              <w:t>la</w:t>
            </w:r>
            <w:proofErr w:type="gramEnd"/>
            <w:r w:rsidRPr="00602C61">
              <w:rPr>
                <w:lang w:val="fr-CH"/>
              </w:rPr>
              <w:t xml:space="preserve"> publication sur Internet n’entraîne aucun risque particulier pour les </w:t>
            </w:r>
            <w:r w:rsidRPr="00602C61">
              <w:rPr>
                <w:lang w:val="fr-CH"/>
              </w:rPr>
              <w:tab/>
              <w:t xml:space="preserve">personnes concernées et que </w:t>
            </w:r>
          </w:p>
          <w:p w:rsidR="00215753" w:rsidRPr="00FA7CD4" w:rsidRDefault="00215753" w:rsidP="005149F0">
            <w:pPr>
              <w:numPr>
                <w:ilvl w:val="0"/>
                <w:numId w:val="19"/>
              </w:numPr>
              <w:tabs>
                <w:tab w:val="clear" w:pos="432"/>
                <w:tab w:val="left" w:pos="214"/>
              </w:tabs>
              <w:ind w:left="0" w:firstLine="0"/>
              <w:rPr>
                <w:lang w:val="fr-CH"/>
              </w:rPr>
            </w:pPr>
            <w:proofErr w:type="gramStart"/>
            <w:r w:rsidRPr="00FA7CD4">
              <w:rPr>
                <w:lang w:val="fr-CH"/>
              </w:rPr>
              <w:t>la</w:t>
            </w:r>
            <w:proofErr w:type="gramEnd"/>
            <w:r w:rsidRPr="00FA7CD4">
              <w:rPr>
                <w:lang w:val="fr-CH"/>
              </w:rPr>
              <w:t xml:space="preserve"> personnalité des personnes concernées n’est pas gravement </w:t>
            </w:r>
            <w:r w:rsidR="000A705A" w:rsidRPr="00FA7CD4">
              <w:rPr>
                <w:lang w:val="fr-CH"/>
              </w:rPr>
              <w:tab/>
            </w:r>
            <w:r w:rsidRPr="00FA7CD4">
              <w:rPr>
                <w:lang w:val="fr-CH"/>
              </w:rPr>
              <w:t xml:space="preserve">menacée par la communication des données à l’étranger (art. 14a </w:t>
            </w:r>
            <w:r w:rsidR="000A705A" w:rsidRPr="00FA7CD4">
              <w:rPr>
                <w:lang w:val="fr-CH"/>
              </w:rPr>
              <w:tab/>
            </w:r>
            <w:r w:rsidRPr="00FA7CD4">
              <w:rPr>
                <w:lang w:val="fr-CH"/>
              </w:rPr>
              <w:t>LCPD).</w:t>
            </w:r>
          </w:p>
          <w:p w:rsidR="00003474" w:rsidRPr="00602C61" w:rsidRDefault="00003474" w:rsidP="00A575C9">
            <w:pPr>
              <w:tabs>
                <w:tab w:val="left" w:pos="355"/>
              </w:tabs>
              <w:rPr>
                <w:lang w:val="fr-CH"/>
              </w:rPr>
            </w:pPr>
          </w:p>
          <w:p w:rsidR="00845279" w:rsidRPr="00602C61" w:rsidRDefault="00B57969" w:rsidP="00A575C9">
            <w:pPr>
              <w:rPr>
                <w:sz w:val="18"/>
                <w:szCs w:val="18"/>
                <w:lang w:val="fr-CH"/>
              </w:rPr>
            </w:pPr>
            <w:r w:rsidRPr="00602C61">
              <w:rPr>
                <w:lang w:val="fr-CH"/>
              </w:rPr>
              <w:t xml:space="preserve"> </w:t>
            </w:r>
          </w:p>
          <w:p w:rsidR="00972EAC" w:rsidRPr="00602C61" w:rsidRDefault="00003474" w:rsidP="00A575C9">
            <w:pPr>
              <w:rPr>
                <w:lang w:val="fr-CH"/>
              </w:rPr>
            </w:pPr>
            <w:r w:rsidRPr="00602C61">
              <w:rPr>
                <w:vertAlign w:val="superscript"/>
                <w:lang w:val="fr-CH"/>
              </w:rPr>
              <w:t>2</w:t>
            </w:r>
            <w:r w:rsidRPr="00602C61">
              <w:rPr>
                <w:lang w:val="fr-CH"/>
              </w:rPr>
              <w:t xml:space="preserve"> </w:t>
            </w:r>
            <w:r w:rsidR="00215753" w:rsidRPr="00602C61">
              <w:rPr>
                <w:lang w:val="fr-CH"/>
              </w:rPr>
              <w:t>Les personnes concernées ont la possibilité d’invoquer un intérêt privé ou public prépondérant s’opposant à la communication des données.</w:t>
            </w:r>
          </w:p>
          <w:p w:rsidR="00003474" w:rsidRPr="00602C61" w:rsidRDefault="00003474" w:rsidP="00A575C9">
            <w:pPr>
              <w:rPr>
                <w:lang w:val="fr-CH"/>
              </w:rPr>
            </w:pPr>
          </w:p>
        </w:tc>
      </w:tr>
      <w:tr w:rsidR="00845279" w:rsidRPr="00E02DB8">
        <w:tc>
          <w:tcPr>
            <w:tcW w:w="2338" w:type="dxa"/>
            <w:tcBorders>
              <w:top w:val="nil"/>
              <w:left w:val="nil"/>
              <w:bottom w:val="nil"/>
              <w:right w:val="nil"/>
            </w:tcBorders>
          </w:tcPr>
          <w:p w:rsidR="00845279" w:rsidRPr="00602C61" w:rsidRDefault="00B15764">
            <w:pPr>
              <w:pStyle w:val="Marginale"/>
              <w:rPr>
                <w:lang w:val="fr-CH"/>
              </w:rPr>
            </w:pPr>
            <w:r w:rsidRPr="00602C61">
              <w:rPr>
                <w:lang w:val="fr-CH"/>
              </w:rPr>
              <w:t xml:space="preserve"> </w:t>
            </w:r>
          </w:p>
        </w:tc>
        <w:tc>
          <w:tcPr>
            <w:tcW w:w="7326" w:type="dxa"/>
            <w:tcBorders>
              <w:top w:val="nil"/>
              <w:left w:val="nil"/>
              <w:bottom w:val="nil"/>
              <w:right w:val="nil"/>
            </w:tcBorders>
          </w:tcPr>
          <w:p w:rsidR="00972EAC" w:rsidRPr="00602C61" w:rsidRDefault="00003474" w:rsidP="00A575C9">
            <w:pPr>
              <w:rPr>
                <w:lang w:val="fr-CH"/>
              </w:rPr>
            </w:pPr>
            <w:r w:rsidRPr="00602C61">
              <w:rPr>
                <w:vertAlign w:val="superscript"/>
                <w:lang w:val="fr-CH"/>
              </w:rPr>
              <w:t>3</w:t>
            </w:r>
            <w:r w:rsidR="00845279" w:rsidRPr="00602C61">
              <w:rPr>
                <w:lang w:val="fr-CH"/>
              </w:rPr>
              <w:t xml:space="preserve"> </w:t>
            </w:r>
            <w:r w:rsidR="00187C0B" w:rsidRPr="00602C61">
              <w:rPr>
                <w:lang w:val="fr-CH"/>
              </w:rPr>
              <w:t xml:space="preserve">Les personnes concernées peuvent en outre faire valoir leurs droits au sens des articles 13 et 20 ss LCPD, notamment le droit de blocage, le droit d’accès et le droit d'exiger la rectification de données inexactes. </w:t>
            </w:r>
            <w:r w:rsidR="00D724FD" w:rsidRPr="00602C61">
              <w:rPr>
                <w:lang w:val="fr-CH"/>
              </w:rPr>
              <w:t xml:space="preserve"> </w:t>
            </w:r>
          </w:p>
          <w:p w:rsidR="00972EAC" w:rsidRPr="00602C61" w:rsidRDefault="00972EAC" w:rsidP="00A575C9">
            <w:pPr>
              <w:rPr>
                <w:lang w:val="fr-CH"/>
              </w:rPr>
            </w:pPr>
          </w:p>
          <w:p w:rsidR="00972EAC" w:rsidRPr="00602C61" w:rsidRDefault="00972EAC" w:rsidP="00A575C9">
            <w:pPr>
              <w:rPr>
                <w:lang w:val="fr-CH"/>
              </w:rPr>
            </w:pPr>
            <w:r w:rsidRPr="00602C61">
              <w:rPr>
                <w:vertAlign w:val="superscript"/>
                <w:lang w:val="fr-CH"/>
              </w:rPr>
              <w:t>4</w:t>
            </w:r>
            <w:r w:rsidRPr="00602C61">
              <w:rPr>
                <w:lang w:val="fr-CH"/>
              </w:rPr>
              <w:t xml:space="preserve"> </w:t>
            </w:r>
            <w:r w:rsidR="00187C0B" w:rsidRPr="00602C61">
              <w:rPr>
                <w:lang w:val="fr-CH"/>
              </w:rPr>
              <w:t>Le blocage au sens de l’alinéa 3 peut se limiter à la publication sur Internet.</w:t>
            </w:r>
          </w:p>
          <w:p w:rsidR="00845279" w:rsidRPr="00602C61" w:rsidRDefault="00316FC7" w:rsidP="00A575C9">
            <w:pPr>
              <w:rPr>
                <w:lang w:val="fr-CH"/>
              </w:rPr>
            </w:pPr>
            <w:r w:rsidRPr="00602C61">
              <w:rPr>
                <w:color w:val="FF0000"/>
                <w:sz w:val="18"/>
                <w:szCs w:val="18"/>
                <w:lang w:val="fr-CH"/>
              </w:rPr>
              <w:br/>
            </w:r>
            <w:r w:rsidR="00972EAC" w:rsidRPr="00602C61">
              <w:rPr>
                <w:vertAlign w:val="superscript"/>
                <w:lang w:val="fr-CH"/>
              </w:rPr>
              <w:t>5</w:t>
            </w:r>
            <w:r w:rsidR="00003474" w:rsidRPr="00602C61">
              <w:rPr>
                <w:lang w:val="fr-CH"/>
              </w:rPr>
              <w:t xml:space="preserve"> </w:t>
            </w:r>
            <w:r w:rsidR="007D61A4" w:rsidRPr="00602C61">
              <w:rPr>
                <w:lang w:val="fr-CH"/>
              </w:rPr>
              <w:t>Une publication n’a pas lieu</w:t>
            </w:r>
          </w:p>
          <w:p w:rsidR="00B15764" w:rsidRPr="00602C61" w:rsidRDefault="00307B22" w:rsidP="00307B22">
            <w:pPr>
              <w:tabs>
                <w:tab w:val="left" w:pos="214"/>
              </w:tabs>
              <w:rPr>
                <w:lang w:val="fr-CH"/>
              </w:rPr>
            </w:pPr>
            <w:proofErr w:type="gramStart"/>
            <w:r>
              <w:rPr>
                <w:i/>
                <w:lang w:val="fr-CH"/>
              </w:rPr>
              <w:t>a</w:t>
            </w:r>
            <w:proofErr w:type="gramEnd"/>
            <w:r>
              <w:rPr>
                <w:lang w:val="fr-CH"/>
              </w:rPr>
              <w:tab/>
            </w:r>
            <w:r w:rsidR="007D61A4" w:rsidRPr="00602C61">
              <w:rPr>
                <w:lang w:val="fr-CH"/>
              </w:rPr>
              <w:t xml:space="preserve">lorsque l’existence d’un intérêt contraire invoqué en application de </w:t>
            </w:r>
            <w:r w:rsidR="007D61A4" w:rsidRPr="00602C61">
              <w:rPr>
                <w:lang w:val="fr-CH"/>
              </w:rPr>
              <w:tab/>
              <w:t>l’alinéa 2 a été rendue vraisemblable;</w:t>
            </w:r>
          </w:p>
          <w:p w:rsidR="00B15764" w:rsidRPr="00602C61" w:rsidRDefault="00307B22" w:rsidP="00307B22">
            <w:pPr>
              <w:tabs>
                <w:tab w:val="left" w:pos="214"/>
              </w:tabs>
              <w:rPr>
                <w:lang w:val="fr-CH"/>
              </w:rPr>
            </w:pPr>
            <w:proofErr w:type="gramStart"/>
            <w:r w:rsidRPr="00307B22">
              <w:rPr>
                <w:i/>
                <w:lang w:val="fr-CH"/>
              </w:rPr>
              <w:t>b</w:t>
            </w:r>
            <w:proofErr w:type="gramEnd"/>
            <w:r w:rsidR="00B15764" w:rsidRPr="00602C61">
              <w:rPr>
                <w:lang w:val="fr-CH"/>
              </w:rPr>
              <w:t xml:space="preserve"> </w:t>
            </w:r>
            <w:r w:rsidR="00B15764" w:rsidRPr="00602C61">
              <w:rPr>
                <w:lang w:val="fr-CH"/>
              </w:rPr>
              <w:tab/>
            </w:r>
            <w:r w:rsidR="007D61A4" w:rsidRPr="00602C61">
              <w:rPr>
                <w:lang w:val="fr-CH"/>
              </w:rPr>
              <w:t>lorsqu’un blocage a été demandé.</w:t>
            </w:r>
          </w:p>
          <w:p w:rsidR="00FE4050" w:rsidRPr="00602C61" w:rsidRDefault="00FE4050" w:rsidP="00A575C9">
            <w:pPr>
              <w:rPr>
                <w:lang w:val="fr-CH"/>
              </w:rPr>
            </w:pPr>
          </w:p>
          <w:p w:rsidR="00CC3D09" w:rsidRPr="00602C61" w:rsidRDefault="00CC3D09" w:rsidP="00A575C9">
            <w:pPr>
              <w:rPr>
                <w:lang w:val="fr-CH"/>
              </w:rPr>
            </w:pPr>
            <w:r w:rsidRPr="00602C61">
              <w:rPr>
                <w:szCs w:val="22"/>
                <w:vertAlign w:val="superscript"/>
                <w:lang w:val="fr-CH"/>
              </w:rPr>
              <w:lastRenderedPageBreak/>
              <w:t>6</w:t>
            </w:r>
            <w:r w:rsidR="00871F5F" w:rsidRPr="00602C61">
              <w:rPr>
                <w:szCs w:val="22"/>
                <w:vertAlign w:val="superscript"/>
                <w:lang w:val="fr-CH"/>
              </w:rPr>
              <w:t xml:space="preserve"> </w:t>
            </w:r>
            <w:r w:rsidR="00834F52" w:rsidRPr="00602C61">
              <w:rPr>
                <w:lang w:val="fr-CH"/>
              </w:rPr>
              <w:t>Il n’est en outre pas possible de communiquer sur Internet</w:t>
            </w:r>
          </w:p>
          <w:p w:rsidR="00CC3D09" w:rsidRPr="00602C61" w:rsidRDefault="00307B22" w:rsidP="00307B22">
            <w:pPr>
              <w:tabs>
                <w:tab w:val="left" w:pos="214"/>
              </w:tabs>
              <w:rPr>
                <w:lang w:val="fr-CH"/>
              </w:rPr>
            </w:pPr>
            <w:proofErr w:type="gramStart"/>
            <w:r w:rsidRPr="00307B22">
              <w:rPr>
                <w:i/>
                <w:lang w:val="fr-CH"/>
              </w:rPr>
              <w:t>a</w:t>
            </w:r>
            <w:proofErr w:type="gramEnd"/>
            <w:r w:rsidR="00871F5F" w:rsidRPr="00602C61">
              <w:rPr>
                <w:lang w:val="fr-CH"/>
              </w:rPr>
              <w:tab/>
            </w:r>
            <w:r w:rsidR="00C60262" w:rsidRPr="00602C61">
              <w:rPr>
                <w:lang w:val="fr-CH"/>
              </w:rPr>
              <w:t xml:space="preserve">les registres publics si aucune base légale expresse ne prévoit leur </w:t>
            </w:r>
            <w:r w:rsidR="00C60262" w:rsidRPr="00602C61">
              <w:rPr>
                <w:lang w:val="fr-CH"/>
              </w:rPr>
              <w:tab/>
              <w:t>publication sur Internet;</w:t>
            </w:r>
          </w:p>
          <w:p w:rsidR="006F2F54" w:rsidRPr="00602C61" w:rsidRDefault="00307B22" w:rsidP="00307B22">
            <w:pPr>
              <w:tabs>
                <w:tab w:val="left" w:pos="214"/>
              </w:tabs>
              <w:rPr>
                <w:lang w:val="fr-CH"/>
              </w:rPr>
            </w:pPr>
            <w:proofErr w:type="gramStart"/>
            <w:r w:rsidRPr="00307B22">
              <w:rPr>
                <w:i/>
                <w:lang w:val="fr-CH"/>
              </w:rPr>
              <w:t>b</w:t>
            </w:r>
            <w:proofErr w:type="gramEnd"/>
            <w:r w:rsidR="00871F5F" w:rsidRPr="00602C61">
              <w:rPr>
                <w:lang w:val="fr-CH"/>
              </w:rPr>
              <w:tab/>
            </w:r>
            <w:r w:rsidR="00C60262" w:rsidRPr="00602C61">
              <w:rPr>
                <w:lang w:val="fr-CH"/>
              </w:rPr>
              <w:t>les numéros et les codes d’identification personnels;</w:t>
            </w:r>
          </w:p>
          <w:p w:rsidR="00AC2A0F" w:rsidRPr="00307B22" w:rsidRDefault="00307B22" w:rsidP="00307B22">
            <w:pPr>
              <w:tabs>
                <w:tab w:val="left" w:pos="214"/>
              </w:tabs>
              <w:rPr>
                <w:lang w:val="fr-CH"/>
              </w:rPr>
            </w:pPr>
            <w:proofErr w:type="gramStart"/>
            <w:r w:rsidRPr="00307B22">
              <w:rPr>
                <w:i/>
                <w:lang w:val="fr-CH"/>
              </w:rPr>
              <w:t>c</w:t>
            </w:r>
            <w:proofErr w:type="gramEnd"/>
            <w:r w:rsidR="00871F5F" w:rsidRPr="00602C61">
              <w:rPr>
                <w:lang w:val="fr-CH"/>
              </w:rPr>
              <w:tab/>
            </w:r>
            <w:r w:rsidR="00C60262" w:rsidRPr="00602C61">
              <w:rPr>
                <w:lang w:val="fr-CH"/>
              </w:rPr>
              <w:t xml:space="preserve">les données systématiques du contrôle des habitants (art. 12, al. 3 </w:t>
            </w:r>
            <w:r>
              <w:rPr>
                <w:lang w:val="fr-CH"/>
              </w:rPr>
              <w:tab/>
            </w:r>
            <w:r w:rsidR="00C60262" w:rsidRPr="00602C61">
              <w:rPr>
                <w:lang w:val="fr-CH"/>
              </w:rPr>
              <w:t xml:space="preserve">LCPD) et d’autres renseignements de même valeur sous forme de </w:t>
            </w:r>
            <w:r>
              <w:rPr>
                <w:lang w:val="fr-CH"/>
              </w:rPr>
              <w:tab/>
            </w:r>
            <w:r w:rsidR="00C60262" w:rsidRPr="00602C61">
              <w:rPr>
                <w:lang w:val="fr-CH"/>
              </w:rPr>
              <w:t>listes.</w:t>
            </w:r>
          </w:p>
          <w:p w:rsidR="00AC2A0F" w:rsidRPr="00602C61" w:rsidRDefault="00AC2A0F" w:rsidP="00A575C9">
            <w:pPr>
              <w:rPr>
                <w:i/>
                <w:color w:val="FF0000"/>
                <w:sz w:val="20"/>
                <w:lang w:val="fr-CH"/>
              </w:rPr>
            </w:pPr>
          </w:p>
        </w:tc>
      </w:tr>
      <w:tr w:rsidR="00AC2A0F" w:rsidRPr="00602C61">
        <w:trPr>
          <w:trHeight w:val="1350"/>
        </w:trPr>
        <w:tc>
          <w:tcPr>
            <w:tcW w:w="2338" w:type="dxa"/>
            <w:tcBorders>
              <w:top w:val="nil"/>
              <w:left w:val="nil"/>
              <w:bottom w:val="nil"/>
              <w:right w:val="nil"/>
            </w:tcBorders>
          </w:tcPr>
          <w:p w:rsidR="00AC2A0F" w:rsidRPr="00602C61" w:rsidRDefault="00634793" w:rsidP="00927154">
            <w:pPr>
              <w:rPr>
                <w:lang w:val="fr-CH"/>
              </w:rPr>
            </w:pPr>
            <w:r w:rsidRPr="00602C61">
              <w:rPr>
                <w:sz w:val="20"/>
                <w:lang w:val="fr-CH"/>
              </w:rPr>
              <w:lastRenderedPageBreak/>
              <w:t>Liste des entreprises et liste des associations</w:t>
            </w:r>
          </w:p>
        </w:tc>
        <w:tc>
          <w:tcPr>
            <w:tcW w:w="7327" w:type="dxa"/>
            <w:tcBorders>
              <w:top w:val="nil"/>
              <w:left w:val="nil"/>
              <w:bottom w:val="nil"/>
              <w:right w:val="nil"/>
            </w:tcBorders>
          </w:tcPr>
          <w:p w:rsidR="003455C2" w:rsidRPr="003455C2" w:rsidRDefault="00AC2A0F" w:rsidP="00A575C9">
            <w:pPr>
              <w:rPr>
                <w:rFonts w:cs="Arial"/>
                <w:bCs/>
                <w:lang w:val="fr-CH"/>
              </w:rPr>
            </w:pPr>
            <w:r w:rsidRPr="00307B22">
              <w:rPr>
                <w:b/>
                <w:lang w:val="fr-CH"/>
              </w:rPr>
              <w:t xml:space="preserve">Art. </w:t>
            </w:r>
            <w:r w:rsidR="00D5031E" w:rsidRPr="00307B22">
              <w:rPr>
                <w:b/>
                <w:lang w:val="fr-CH"/>
              </w:rPr>
              <w:t>1</w:t>
            </w:r>
            <w:r w:rsidR="00E62A2B" w:rsidRPr="00307B22">
              <w:rPr>
                <w:b/>
                <w:lang w:val="fr-CH"/>
              </w:rPr>
              <w:t>4</w:t>
            </w:r>
            <w:r w:rsidRPr="00602C61">
              <w:rPr>
                <w:lang w:val="fr-CH"/>
              </w:rPr>
              <w:t xml:space="preserve"> </w:t>
            </w:r>
            <w:r w:rsidR="00634793" w:rsidRPr="00602C61">
              <w:rPr>
                <w:rFonts w:cs="Arial"/>
                <w:bCs/>
                <w:lang w:val="fr-CH"/>
              </w:rPr>
              <w:t>La commune peut publier sur son site Internet une liste des entreprises et une liste des associations. Elle demande le consentement des intéressés au préalable.</w:t>
            </w:r>
          </w:p>
        </w:tc>
      </w:tr>
    </w:tbl>
    <w:p w:rsidR="00DD43D5" w:rsidRPr="00602C61" w:rsidRDefault="00DD43D5">
      <w:pPr>
        <w:rPr>
          <w:lang w:val="fr-CH"/>
        </w:rPr>
      </w:pPr>
    </w:p>
    <w:tbl>
      <w:tblPr>
        <w:tblW w:w="0" w:type="auto"/>
        <w:tblLayout w:type="fixed"/>
        <w:tblCellMar>
          <w:left w:w="70" w:type="dxa"/>
          <w:right w:w="70" w:type="dxa"/>
        </w:tblCellMar>
        <w:tblLook w:val="0000" w:firstRow="0" w:lastRow="0" w:firstColumn="0" w:lastColumn="0" w:noHBand="0" w:noVBand="0"/>
      </w:tblPr>
      <w:tblGrid>
        <w:gridCol w:w="2338"/>
        <w:gridCol w:w="7230"/>
        <w:gridCol w:w="97"/>
      </w:tblGrid>
      <w:tr w:rsidR="0005417F" w:rsidRPr="00E02DB8">
        <w:trPr>
          <w:trHeight w:val="1350"/>
        </w:trPr>
        <w:tc>
          <w:tcPr>
            <w:tcW w:w="2338" w:type="dxa"/>
            <w:tcBorders>
              <w:top w:val="nil"/>
              <w:left w:val="nil"/>
              <w:bottom w:val="nil"/>
              <w:right w:val="nil"/>
            </w:tcBorders>
          </w:tcPr>
          <w:p w:rsidR="00D836DE" w:rsidRPr="00602C61" w:rsidRDefault="00F33D23" w:rsidP="00871F5F">
            <w:pPr>
              <w:rPr>
                <w:lang w:val="fr-CH"/>
              </w:rPr>
            </w:pPr>
            <w:r w:rsidRPr="00602C61">
              <w:rPr>
                <w:sz w:val="20"/>
                <w:lang w:val="fr-CH"/>
              </w:rPr>
              <w:t>Critères techniques</w:t>
            </w:r>
          </w:p>
          <w:p w:rsidR="0005417F" w:rsidRPr="00602C61" w:rsidRDefault="0005417F" w:rsidP="00D836DE">
            <w:pPr>
              <w:rPr>
                <w:lang w:val="fr-CH"/>
              </w:rPr>
            </w:pPr>
          </w:p>
        </w:tc>
        <w:tc>
          <w:tcPr>
            <w:tcW w:w="7327" w:type="dxa"/>
            <w:gridSpan w:val="2"/>
            <w:tcBorders>
              <w:top w:val="nil"/>
              <w:left w:val="nil"/>
              <w:bottom w:val="nil"/>
              <w:right w:val="nil"/>
            </w:tcBorders>
          </w:tcPr>
          <w:p w:rsidR="00871F5F" w:rsidRPr="00602C61" w:rsidRDefault="0005417F" w:rsidP="00A575C9">
            <w:pPr>
              <w:rPr>
                <w:sz w:val="16"/>
                <w:szCs w:val="16"/>
                <w:lang w:val="fr-CH"/>
              </w:rPr>
            </w:pPr>
            <w:r w:rsidRPr="00307B22">
              <w:rPr>
                <w:b/>
                <w:lang w:val="fr-CH"/>
              </w:rPr>
              <w:t xml:space="preserve">Art. </w:t>
            </w:r>
            <w:r w:rsidR="00D5031E" w:rsidRPr="00307B22">
              <w:rPr>
                <w:b/>
                <w:lang w:val="fr-CH"/>
              </w:rPr>
              <w:t>1</w:t>
            </w:r>
            <w:r w:rsidR="00E62A2B" w:rsidRPr="00307B22">
              <w:rPr>
                <w:b/>
                <w:lang w:val="fr-CH"/>
              </w:rPr>
              <w:t>5</w:t>
            </w:r>
            <w:r w:rsidR="00AC2A0F" w:rsidRPr="00602C61">
              <w:rPr>
                <w:lang w:val="fr-CH"/>
              </w:rPr>
              <w:t xml:space="preserve"> </w:t>
            </w:r>
            <w:r w:rsidRPr="00602C61">
              <w:rPr>
                <w:vertAlign w:val="superscript"/>
                <w:lang w:val="fr-CH"/>
              </w:rPr>
              <w:t>1</w:t>
            </w:r>
            <w:r w:rsidRPr="00602C61">
              <w:rPr>
                <w:lang w:val="fr-CH"/>
              </w:rPr>
              <w:t xml:space="preserve"> </w:t>
            </w:r>
            <w:r w:rsidR="00D805E3" w:rsidRPr="00602C61">
              <w:rPr>
                <w:lang w:val="fr-CH"/>
              </w:rPr>
              <w:t>Les informations communiquées sur Internet doivent être traitées techniquement de manière à dissuader les moteurs de recherche de les indexer.</w:t>
            </w:r>
          </w:p>
          <w:p w:rsidR="00D836DE" w:rsidRPr="00602C61" w:rsidRDefault="00D836DE" w:rsidP="00A575C9">
            <w:pPr>
              <w:rPr>
                <w:szCs w:val="22"/>
                <w:lang w:val="fr-CH"/>
              </w:rPr>
            </w:pPr>
          </w:p>
          <w:p w:rsidR="00D836DE" w:rsidRPr="00602C61" w:rsidRDefault="00D836DE" w:rsidP="00A575C9">
            <w:pPr>
              <w:rPr>
                <w:lang w:val="fr-CH"/>
              </w:rPr>
            </w:pPr>
            <w:r w:rsidRPr="00602C61">
              <w:rPr>
                <w:vertAlign w:val="superscript"/>
                <w:lang w:val="fr-CH"/>
              </w:rPr>
              <w:t>2</w:t>
            </w:r>
            <w:r w:rsidR="00903199" w:rsidRPr="00602C61">
              <w:rPr>
                <w:lang w:val="fr-CH"/>
              </w:rPr>
              <w:t xml:space="preserve"> </w:t>
            </w:r>
            <w:r w:rsidR="003455C2" w:rsidRPr="003455C2">
              <w:rPr>
                <w:lang w:val="fr-CH"/>
              </w:rPr>
              <w:t>Le cas échéant, les adresses de courriel publiées doivent l’être exclusivement sous une forme qui empêche toute lecture par un robot malveillant.</w:t>
            </w:r>
          </w:p>
          <w:p w:rsidR="0017740A" w:rsidRPr="00602C61" w:rsidRDefault="0017740A" w:rsidP="00D836DE">
            <w:pPr>
              <w:rPr>
                <w:szCs w:val="22"/>
                <w:lang w:val="fr-CH"/>
              </w:rPr>
            </w:pPr>
          </w:p>
        </w:tc>
      </w:tr>
      <w:tr w:rsidR="0005417F" w:rsidRPr="00E02DB8">
        <w:trPr>
          <w:gridAfter w:val="1"/>
          <w:wAfter w:w="97" w:type="dxa"/>
        </w:trPr>
        <w:tc>
          <w:tcPr>
            <w:tcW w:w="2338" w:type="dxa"/>
            <w:tcBorders>
              <w:top w:val="nil"/>
              <w:left w:val="nil"/>
              <w:bottom w:val="nil"/>
              <w:right w:val="nil"/>
            </w:tcBorders>
          </w:tcPr>
          <w:p w:rsidR="0005417F" w:rsidRPr="00602C61" w:rsidRDefault="0005417F" w:rsidP="0033749E">
            <w:pPr>
              <w:pStyle w:val="Marginale"/>
              <w:rPr>
                <w:lang w:val="fr-CH"/>
              </w:rPr>
            </w:pPr>
          </w:p>
        </w:tc>
        <w:tc>
          <w:tcPr>
            <w:tcW w:w="7230" w:type="dxa"/>
            <w:tcBorders>
              <w:top w:val="nil"/>
              <w:left w:val="nil"/>
              <w:bottom w:val="nil"/>
              <w:right w:val="nil"/>
            </w:tcBorders>
          </w:tcPr>
          <w:p w:rsidR="00085DB9" w:rsidRPr="00602C61" w:rsidRDefault="00085DB9" w:rsidP="00A575C9">
            <w:pPr>
              <w:rPr>
                <w:lang w:val="fr-CH"/>
              </w:rPr>
            </w:pPr>
            <w:r w:rsidRPr="00602C61">
              <w:rPr>
                <w:szCs w:val="22"/>
                <w:vertAlign w:val="superscript"/>
                <w:lang w:val="fr-CH"/>
              </w:rPr>
              <w:t>3</w:t>
            </w:r>
            <w:r w:rsidRPr="00602C61">
              <w:rPr>
                <w:lang w:val="fr-CH"/>
              </w:rPr>
              <w:t xml:space="preserve"> </w:t>
            </w:r>
            <w:r w:rsidR="00856CDF" w:rsidRPr="00602C61">
              <w:rPr>
                <w:lang w:val="fr-CH"/>
              </w:rPr>
              <w:t xml:space="preserve">Le service compétent au sens de l’article </w:t>
            </w:r>
            <w:r w:rsidR="005149F0">
              <w:rPr>
                <w:lang w:val="fr-CH"/>
              </w:rPr>
              <w:t xml:space="preserve">11 </w:t>
            </w:r>
            <w:r w:rsidR="00856CDF" w:rsidRPr="00602C61">
              <w:rPr>
                <w:lang w:val="fr-CH"/>
              </w:rPr>
              <w:t>garantit que les informations communiquées sur Internet ne contiennent pas d’autres renseignements complémentaires lisibles (historique du document, versions précédentes, etc.)</w:t>
            </w:r>
          </w:p>
          <w:p w:rsidR="00085DB9" w:rsidRPr="00602C61" w:rsidRDefault="00085DB9" w:rsidP="00A575C9">
            <w:pPr>
              <w:rPr>
                <w:szCs w:val="22"/>
                <w:lang w:val="fr-CH"/>
              </w:rPr>
            </w:pPr>
          </w:p>
          <w:p w:rsidR="00085DB9" w:rsidRPr="00602C61" w:rsidRDefault="00085DB9" w:rsidP="00A575C9">
            <w:pPr>
              <w:rPr>
                <w:lang w:val="fr-CH"/>
              </w:rPr>
            </w:pPr>
            <w:r w:rsidRPr="00602C61">
              <w:rPr>
                <w:szCs w:val="22"/>
                <w:vertAlign w:val="superscript"/>
                <w:lang w:val="fr-CH"/>
              </w:rPr>
              <w:t>4</w:t>
            </w:r>
            <w:r w:rsidRPr="00602C61">
              <w:rPr>
                <w:lang w:val="fr-CH"/>
              </w:rPr>
              <w:t xml:space="preserve"> </w:t>
            </w:r>
            <w:r w:rsidR="003E74EC" w:rsidRPr="00602C61">
              <w:rPr>
                <w:lang w:val="fr-CH"/>
              </w:rPr>
              <w:t>Il prend en outre les mesures techniques et organisationnelles complémentaires reconnues propres à protéger la plate-forme de publication contre les manipulations.</w:t>
            </w:r>
          </w:p>
          <w:p w:rsidR="00D724FD" w:rsidRPr="00602C61" w:rsidRDefault="00D724FD" w:rsidP="00A575C9">
            <w:pPr>
              <w:rPr>
                <w:lang w:val="fr-CH"/>
              </w:rPr>
            </w:pPr>
          </w:p>
          <w:p w:rsidR="00F50053" w:rsidRPr="00602C61" w:rsidRDefault="00F50053" w:rsidP="00D836DE">
            <w:pPr>
              <w:rPr>
                <w:i/>
                <w:color w:val="FF0000"/>
                <w:sz w:val="20"/>
                <w:lang w:val="fr-CH"/>
              </w:rPr>
            </w:pPr>
          </w:p>
        </w:tc>
      </w:tr>
    </w:tbl>
    <w:p w:rsidR="00845279" w:rsidRPr="00602C61" w:rsidRDefault="00554233">
      <w:pPr>
        <w:pStyle w:val="Titre1"/>
        <w:rPr>
          <w:lang w:val="fr-CH"/>
        </w:rPr>
      </w:pPr>
      <w:r w:rsidRPr="00602C61">
        <w:rPr>
          <w:lang w:val="fr-CH"/>
        </w:rPr>
        <w:t>Disposition finale</w:t>
      </w:r>
    </w:p>
    <w:p w:rsidR="00845279" w:rsidRPr="00602C61" w:rsidRDefault="00845279">
      <w:pPr>
        <w:rPr>
          <w:lang w:val="fr-CH"/>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45279" w:rsidRPr="00E02DB8">
        <w:tc>
          <w:tcPr>
            <w:tcW w:w="2338" w:type="dxa"/>
            <w:tcBorders>
              <w:top w:val="nil"/>
              <w:left w:val="nil"/>
              <w:bottom w:val="nil"/>
              <w:right w:val="nil"/>
            </w:tcBorders>
          </w:tcPr>
          <w:p w:rsidR="00845279" w:rsidRPr="00602C61" w:rsidRDefault="00263828">
            <w:pPr>
              <w:pStyle w:val="Marginale"/>
              <w:rPr>
                <w:lang w:val="fr-CH"/>
              </w:rPr>
            </w:pPr>
            <w:r w:rsidRPr="00602C61">
              <w:rPr>
                <w:lang w:val="fr-CH"/>
              </w:rPr>
              <w:t>Entrée en vigueur</w:t>
            </w:r>
          </w:p>
        </w:tc>
        <w:tc>
          <w:tcPr>
            <w:tcW w:w="7326" w:type="dxa"/>
            <w:tcBorders>
              <w:top w:val="nil"/>
              <w:left w:val="nil"/>
              <w:bottom w:val="nil"/>
              <w:right w:val="nil"/>
            </w:tcBorders>
          </w:tcPr>
          <w:p w:rsidR="00845279" w:rsidRPr="00602C61" w:rsidRDefault="00845279" w:rsidP="00A575C9">
            <w:pPr>
              <w:rPr>
                <w:lang w:val="fr-CH"/>
              </w:rPr>
            </w:pPr>
            <w:r w:rsidRPr="00307B22">
              <w:rPr>
                <w:b/>
                <w:lang w:val="fr-CH"/>
              </w:rPr>
              <w:t xml:space="preserve">Art. </w:t>
            </w:r>
            <w:r w:rsidR="00D5031E" w:rsidRPr="00307B22">
              <w:rPr>
                <w:b/>
                <w:lang w:val="fr-CH"/>
              </w:rPr>
              <w:t>1</w:t>
            </w:r>
            <w:r w:rsidR="00E62A2B" w:rsidRPr="00307B22">
              <w:rPr>
                <w:b/>
                <w:lang w:val="fr-CH"/>
              </w:rPr>
              <w:t>6</w:t>
            </w:r>
            <w:r w:rsidR="00AC2A0F" w:rsidRPr="00602C61">
              <w:rPr>
                <w:lang w:val="fr-CH"/>
              </w:rPr>
              <w:t xml:space="preserve"> </w:t>
            </w:r>
            <w:r w:rsidR="00263828" w:rsidRPr="00602C61">
              <w:rPr>
                <w:lang w:val="fr-CH"/>
              </w:rPr>
              <w:t xml:space="preserve">Le/La (organe compétent) fixe la date de l’entrée en vigueur de la présente ordonnance. / La présente ordonnance entre en vigueur le XX </w:t>
            </w:r>
            <w:proofErr w:type="spellStart"/>
            <w:r w:rsidR="00263828" w:rsidRPr="00602C61">
              <w:rPr>
                <w:lang w:val="fr-CH"/>
              </w:rPr>
              <w:t>XX</w:t>
            </w:r>
            <w:proofErr w:type="spellEnd"/>
            <w:r w:rsidR="00263828" w:rsidRPr="00602C61">
              <w:rPr>
                <w:lang w:val="fr-CH"/>
              </w:rPr>
              <w:t xml:space="preserve"> XXXX.</w:t>
            </w:r>
          </w:p>
        </w:tc>
      </w:tr>
    </w:tbl>
    <w:p w:rsidR="00845279" w:rsidRPr="00602C61" w:rsidRDefault="00845279">
      <w:pPr>
        <w:rPr>
          <w:lang w:val="fr-CH"/>
        </w:rPr>
      </w:pPr>
    </w:p>
    <w:p w:rsidR="00845279" w:rsidRPr="00602C61" w:rsidRDefault="00845279">
      <w:pPr>
        <w:rPr>
          <w:lang w:val="fr-CH"/>
        </w:rPr>
      </w:pPr>
    </w:p>
    <w:p w:rsidR="00E11409" w:rsidRPr="00602C61" w:rsidRDefault="00E11409">
      <w:pPr>
        <w:rPr>
          <w:lang w:val="fr-CH"/>
        </w:rPr>
      </w:pPr>
    </w:p>
    <w:p w:rsidR="00E11409" w:rsidRPr="00602C61" w:rsidRDefault="00E11409">
      <w:pPr>
        <w:rPr>
          <w:lang w:val="fr-CH"/>
        </w:rPr>
      </w:pPr>
    </w:p>
    <w:p w:rsidR="00E11409" w:rsidRPr="00602C61" w:rsidRDefault="00E11409" w:rsidP="00E11409">
      <w:pPr>
        <w:ind w:left="2836" w:firstLine="709"/>
        <w:rPr>
          <w:b/>
          <w:lang w:val="fr-CH"/>
        </w:rPr>
      </w:pPr>
      <w:r w:rsidRPr="00602C61">
        <w:rPr>
          <w:b/>
          <w:lang w:val="fr-CH"/>
        </w:rPr>
        <w:t>XXXX</w:t>
      </w:r>
    </w:p>
    <w:p w:rsidR="00E11409" w:rsidRPr="00602C61" w:rsidRDefault="00263828" w:rsidP="00E11409">
      <w:pPr>
        <w:ind w:left="2836" w:firstLine="709"/>
        <w:rPr>
          <w:lang w:val="fr-CH"/>
        </w:rPr>
      </w:pPr>
      <w:r w:rsidRPr="00602C61">
        <w:rPr>
          <w:lang w:val="fr-CH"/>
        </w:rPr>
        <w:t>Le président/La présidente</w:t>
      </w:r>
      <w:r w:rsidR="00E11409" w:rsidRPr="00602C61">
        <w:rPr>
          <w:lang w:val="fr-CH"/>
        </w:rPr>
        <w:tab/>
      </w:r>
      <w:r w:rsidR="00E11409" w:rsidRPr="00602C61">
        <w:rPr>
          <w:lang w:val="fr-CH"/>
        </w:rPr>
        <w:tab/>
      </w:r>
      <w:r w:rsidR="00E11409" w:rsidRPr="00602C61">
        <w:rPr>
          <w:lang w:val="fr-CH"/>
        </w:rPr>
        <w:tab/>
      </w:r>
      <w:r w:rsidRPr="00602C61">
        <w:rPr>
          <w:lang w:val="fr-CH"/>
        </w:rPr>
        <w:t>Le/La secrétaire</w:t>
      </w:r>
      <w:r w:rsidR="0057153D" w:rsidRPr="00602C61">
        <w:rPr>
          <w:lang w:val="fr-CH"/>
        </w:rPr>
        <w:t xml:space="preserve"> </w:t>
      </w:r>
      <w:r w:rsidR="0057153D" w:rsidRPr="00602C61">
        <w:rPr>
          <w:lang w:val="fr-CH"/>
        </w:rPr>
        <w:tab/>
        <w:t>Le maire/La mairesse</w:t>
      </w:r>
    </w:p>
    <w:p w:rsidR="009E2503" w:rsidRDefault="0005417F" w:rsidP="0096775F">
      <w:pPr>
        <w:rPr>
          <w:lang w:val="fr-CH"/>
        </w:rPr>
      </w:pPr>
      <w:r w:rsidRPr="00602C61">
        <w:rPr>
          <w:lang w:val="fr-CH"/>
        </w:rPr>
        <w:br/>
      </w:r>
    </w:p>
    <w:p w:rsidR="0096775F" w:rsidRPr="00602C61" w:rsidRDefault="009E2503" w:rsidP="0096775F">
      <w:pPr>
        <w:rPr>
          <w:b/>
          <w:sz w:val="24"/>
          <w:szCs w:val="24"/>
          <w:highlight w:val="yellow"/>
          <w:lang w:val="fr-CH"/>
        </w:rPr>
      </w:pPr>
      <w:r>
        <w:rPr>
          <w:lang w:val="fr-CH"/>
        </w:rPr>
        <w:br w:type="page"/>
      </w:r>
      <w:r w:rsidR="00263828" w:rsidRPr="00602C61">
        <w:rPr>
          <w:b/>
          <w:sz w:val="24"/>
          <w:szCs w:val="24"/>
          <w:lang w:val="fr-CH"/>
        </w:rPr>
        <w:lastRenderedPageBreak/>
        <w:t>Commentaires des différents articles de l’ordonnance-type</w:t>
      </w:r>
    </w:p>
    <w:p w:rsidR="00290B52" w:rsidRPr="00602C61" w:rsidRDefault="00290B52" w:rsidP="0096775F">
      <w:pPr>
        <w:rPr>
          <w:b/>
          <w:sz w:val="28"/>
          <w:szCs w:val="28"/>
          <w:lang w:val="fr-CH"/>
        </w:rPr>
      </w:pPr>
    </w:p>
    <w:p w:rsidR="00290B52" w:rsidRPr="00602C61" w:rsidRDefault="00263828" w:rsidP="0096775F">
      <w:pPr>
        <w:rPr>
          <w:b/>
          <w:lang w:val="fr-CH"/>
        </w:rPr>
      </w:pPr>
      <w:r w:rsidRPr="00602C61">
        <w:rPr>
          <w:b/>
          <w:lang w:val="fr-CH"/>
        </w:rPr>
        <w:t>Remarque préliminaire</w:t>
      </w:r>
      <w:r w:rsidR="00290B52" w:rsidRPr="00602C61">
        <w:rPr>
          <w:b/>
          <w:lang w:val="fr-CH"/>
        </w:rPr>
        <w:t>:</w:t>
      </w:r>
    </w:p>
    <w:p w:rsidR="00B8216C" w:rsidRPr="00602C61" w:rsidRDefault="00B8216C" w:rsidP="0096775F">
      <w:pPr>
        <w:rPr>
          <w:lang w:val="fr-CH"/>
        </w:rPr>
      </w:pPr>
    </w:p>
    <w:p w:rsidR="00AF1BFC" w:rsidRPr="00602C61" w:rsidRDefault="004863CB" w:rsidP="0096775F">
      <w:pPr>
        <w:rPr>
          <w:lang w:val="fr-CH"/>
        </w:rPr>
      </w:pPr>
      <w:r w:rsidRPr="00602C61">
        <w:rPr>
          <w:lang w:val="fr-CH"/>
        </w:rPr>
        <w:t>La présente ordonnance-type s’adresse à toutes les collectivités de droit communal au sens de l’article 2, alinéa 1 de la loi sur les communes (LCo; RSB 170.11)</w:t>
      </w:r>
      <w:r w:rsidR="00AF1BFC" w:rsidRPr="00602C61">
        <w:rPr>
          <w:lang w:val="fr-CH"/>
        </w:rPr>
        <w:t>.</w:t>
      </w:r>
      <w:r w:rsidR="00301F67" w:rsidRPr="00602C61">
        <w:rPr>
          <w:lang w:val="fr-CH"/>
        </w:rPr>
        <w:t xml:space="preserve"> </w:t>
      </w:r>
    </w:p>
    <w:p w:rsidR="00484FC5" w:rsidRPr="00602C61" w:rsidRDefault="001A4F2B" w:rsidP="00484FC5">
      <w:pPr>
        <w:overflowPunct/>
        <w:textAlignment w:val="auto"/>
        <w:rPr>
          <w:rFonts w:cs="Arial"/>
          <w:color w:val="000000"/>
          <w:szCs w:val="22"/>
          <w:lang w:val="fr-CH"/>
        </w:rPr>
      </w:pPr>
      <w:r w:rsidRPr="00602C61">
        <w:rPr>
          <w:rFonts w:cs="Arial"/>
          <w:color w:val="000000"/>
          <w:szCs w:val="22"/>
          <w:lang w:val="fr-CH"/>
        </w:rPr>
        <w:t xml:space="preserve">La version de l’ordonnance-type valable jusqu’à août 2018 (ordonnance concernant la communication sur Internet et au moyen de services assimilables à Internet d’informations qui sont accessibles au public et qui contiennent des données personnelles) </w:t>
      </w:r>
      <w:r w:rsidR="00241162" w:rsidRPr="00602C61">
        <w:rPr>
          <w:rFonts w:cs="Arial"/>
          <w:color w:val="000000"/>
          <w:szCs w:val="22"/>
          <w:lang w:val="fr-CH"/>
        </w:rPr>
        <w:t xml:space="preserve">ne s’adressait qu’aux collectivités de droit communal qui voulaient communiquer ou prévoyaient de communiquer sur </w:t>
      </w:r>
      <w:r w:rsidR="00241162" w:rsidRPr="00602C61">
        <w:rPr>
          <w:rFonts w:cs="Arial"/>
          <w:b/>
          <w:color w:val="000000"/>
          <w:szCs w:val="22"/>
          <w:lang w:val="fr-CH"/>
        </w:rPr>
        <w:t>Internet</w:t>
      </w:r>
      <w:r w:rsidR="00241162" w:rsidRPr="00602C61">
        <w:rPr>
          <w:rFonts w:cs="Arial"/>
          <w:color w:val="000000"/>
          <w:szCs w:val="22"/>
          <w:lang w:val="fr-CH"/>
        </w:rPr>
        <w:t xml:space="preserve"> des </w:t>
      </w:r>
      <w:r w:rsidR="00241162" w:rsidRPr="00602C61">
        <w:rPr>
          <w:rFonts w:cs="Arial"/>
          <w:b/>
          <w:color w:val="000000"/>
          <w:szCs w:val="22"/>
          <w:lang w:val="fr-CH"/>
        </w:rPr>
        <w:t>informations à caractère public</w:t>
      </w:r>
      <w:r w:rsidR="00241162" w:rsidRPr="00602C61">
        <w:rPr>
          <w:rFonts w:cs="Arial"/>
          <w:color w:val="000000"/>
          <w:szCs w:val="22"/>
          <w:lang w:val="fr-CH"/>
        </w:rPr>
        <w:t xml:space="preserve"> comportant des données personnelles dans le but d’offrir une prestation à la population en lui facilitant l’accès à des informations. </w:t>
      </w:r>
      <w:r w:rsidR="001B77CD" w:rsidRPr="00602C61">
        <w:rPr>
          <w:rFonts w:cs="Arial"/>
          <w:color w:val="000000"/>
          <w:szCs w:val="22"/>
          <w:lang w:val="fr-CH"/>
        </w:rPr>
        <w:t>La version actuelle de l’ordonnance-type contient toujours les dispositions en question (art. 11 à 15)</w:t>
      </w:r>
      <w:r w:rsidR="0038559F" w:rsidRPr="00602C61">
        <w:rPr>
          <w:rFonts w:cs="Arial"/>
          <w:color w:val="000000"/>
          <w:szCs w:val="22"/>
          <w:lang w:val="fr-CH"/>
        </w:rPr>
        <w:t>.</w:t>
      </w:r>
      <w:r w:rsidR="00C508D5" w:rsidRPr="00602C61">
        <w:rPr>
          <w:lang w:val="fr-CH"/>
        </w:rPr>
        <w:t xml:space="preserve"> </w:t>
      </w:r>
    </w:p>
    <w:p w:rsidR="00E94995" w:rsidRPr="00602C61" w:rsidRDefault="00676E9C" w:rsidP="00484FC5">
      <w:pPr>
        <w:rPr>
          <w:rFonts w:cs="Arial"/>
          <w:color w:val="000000"/>
          <w:szCs w:val="22"/>
          <w:lang w:val="fr-CH"/>
        </w:rPr>
      </w:pPr>
      <w:r w:rsidRPr="00602C61">
        <w:rPr>
          <w:rFonts w:cs="Arial"/>
          <w:color w:val="000000"/>
          <w:szCs w:val="22"/>
          <w:lang w:val="fr-CH"/>
        </w:rPr>
        <w:t xml:space="preserve">Les articles 1 à 10 de la nouvelle ordonnance-type règlent, quant à eux, </w:t>
      </w:r>
      <w:r w:rsidR="003F64F4" w:rsidRPr="00602C61">
        <w:rPr>
          <w:rFonts w:cs="Arial"/>
          <w:color w:val="000000"/>
          <w:szCs w:val="22"/>
          <w:lang w:val="fr-CH"/>
        </w:rPr>
        <w:t xml:space="preserve">les </w:t>
      </w:r>
      <w:r w:rsidR="00B35EC7">
        <w:rPr>
          <w:rFonts w:cs="Arial"/>
          <w:color w:val="000000"/>
          <w:szCs w:val="22"/>
          <w:lang w:val="fr-CH"/>
        </w:rPr>
        <w:t>éléments</w:t>
      </w:r>
      <w:r w:rsidR="003F64F4" w:rsidRPr="00602C61">
        <w:rPr>
          <w:rFonts w:cs="Arial"/>
          <w:color w:val="000000"/>
          <w:szCs w:val="22"/>
          <w:lang w:val="fr-CH"/>
        </w:rPr>
        <w:t xml:space="preserve"> qui doivent être ajoutés afin que la communication de données sur le site Internet d’une collectivité de droit communal </w:t>
      </w:r>
      <w:r w:rsidR="003F64F4" w:rsidRPr="00602C61">
        <w:rPr>
          <w:rFonts w:cs="Arial"/>
          <w:b/>
          <w:color w:val="000000"/>
          <w:szCs w:val="22"/>
          <w:lang w:val="fr-CH"/>
        </w:rPr>
        <w:t>soit conforme aux dispositions européennes</w:t>
      </w:r>
      <w:r w:rsidR="00B35EC7">
        <w:rPr>
          <w:rFonts w:cs="Arial"/>
          <w:b/>
          <w:color w:val="000000"/>
          <w:szCs w:val="22"/>
          <w:lang w:val="fr-CH"/>
        </w:rPr>
        <w:t xml:space="preserve"> </w:t>
      </w:r>
      <w:r w:rsidR="00B35EC7" w:rsidRPr="00602C61">
        <w:rPr>
          <w:rFonts w:cs="Arial"/>
          <w:color w:val="000000"/>
          <w:szCs w:val="22"/>
          <w:lang w:val="fr-CH"/>
        </w:rPr>
        <w:t>en matière de protection des données</w:t>
      </w:r>
      <w:r w:rsidR="003F64F4" w:rsidRPr="00602C61">
        <w:rPr>
          <w:rFonts w:cs="Arial"/>
          <w:color w:val="000000"/>
          <w:szCs w:val="22"/>
          <w:lang w:val="fr-CH"/>
        </w:rPr>
        <w:t xml:space="preserve">. </w:t>
      </w:r>
      <w:r w:rsidR="00202E4B" w:rsidRPr="00602C61">
        <w:rPr>
          <w:rFonts w:cs="Arial"/>
          <w:color w:val="000000"/>
          <w:szCs w:val="22"/>
          <w:lang w:val="fr-CH"/>
        </w:rPr>
        <w:t xml:space="preserve">Il s’agit de prendre </w:t>
      </w:r>
      <w:r w:rsidR="00FA7CF6" w:rsidRPr="00602C61">
        <w:rPr>
          <w:rFonts w:cs="Arial"/>
          <w:color w:val="000000"/>
          <w:szCs w:val="22"/>
          <w:lang w:val="fr-CH"/>
        </w:rPr>
        <w:t>les devants en vue de</w:t>
      </w:r>
      <w:r w:rsidR="00202E4B" w:rsidRPr="00602C61">
        <w:rPr>
          <w:rFonts w:cs="Arial"/>
          <w:color w:val="000000"/>
          <w:szCs w:val="22"/>
          <w:lang w:val="fr-CH"/>
        </w:rPr>
        <w:t xml:space="preserve"> l’entrée en vigueur </w:t>
      </w:r>
      <w:r w:rsidR="00FA7CF6" w:rsidRPr="00602C61">
        <w:rPr>
          <w:rFonts w:cs="Arial"/>
          <w:color w:val="000000"/>
          <w:szCs w:val="22"/>
          <w:lang w:val="fr-CH"/>
        </w:rPr>
        <w:t>de l’ordonnance portant introduction de la directive (UE) 2016/680 relative à la protection des données à caractère personnel (</w:t>
      </w:r>
      <w:r w:rsidR="00FA7CF6" w:rsidRPr="00602C61">
        <w:rPr>
          <w:rFonts w:cs="Arial"/>
          <w:b/>
          <w:color w:val="000000"/>
          <w:szCs w:val="22"/>
          <w:lang w:val="fr-CH"/>
        </w:rPr>
        <w:t>OiDPD</w:t>
      </w:r>
      <w:r w:rsidR="00FA7CF6" w:rsidRPr="00602C61">
        <w:rPr>
          <w:rFonts w:cs="Arial"/>
          <w:color w:val="000000"/>
          <w:szCs w:val="22"/>
          <w:lang w:val="fr-CH"/>
        </w:rPr>
        <w:t>; RSB 152.043</w:t>
      </w:r>
      <w:r w:rsidR="00492F42" w:rsidRPr="00602C61">
        <w:rPr>
          <w:rStyle w:val="Appelnotedebasdep"/>
          <w:rFonts w:cs="Arial"/>
          <w:color w:val="000000"/>
          <w:szCs w:val="22"/>
          <w:lang w:val="fr-CH"/>
        </w:rPr>
        <w:footnoteReference w:id="1"/>
      </w:r>
      <w:r w:rsidR="00484FC5" w:rsidRPr="00602C61">
        <w:rPr>
          <w:rFonts w:cs="Arial"/>
          <w:color w:val="000000"/>
          <w:szCs w:val="22"/>
          <w:lang w:val="fr-CH"/>
        </w:rPr>
        <w:t xml:space="preserve">). </w:t>
      </w:r>
      <w:r w:rsidR="00C323AE" w:rsidRPr="00602C61">
        <w:rPr>
          <w:rFonts w:cs="Arial"/>
          <w:color w:val="000000"/>
          <w:szCs w:val="22"/>
          <w:lang w:val="fr-CH"/>
        </w:rPr>
        <w:t>Avec c</w:t>
      </w:r>
      <w:r w:rsidR="00D549B9" w:rsidRPr="00602C61">
        <w:rPr>
          <w:rFonts w:cs="Arial"/>
          <w:color w:val="000000"/>
          <w:szCs w:val="22"/>
          <w:lang w:val="fr-CH"/>
        </w:rPr>
        <w:t>ette ordonnance</w:t>
      </w:r>
      <w:r w:rsidR="00527525" w:rsidRPr="00602C61">
        <w:rPr>
          <w:rFonts w:cs="Arial"/>
          <w:color w:val="000000"/>
          <w:szCs w:val="22"/>
          <w:lang w:val="fr-CH"/>
        </w:rPr>
        <w:t xml:space="preserve">, le canton de Berne </w:t>
      </w:r>
      <w:r w:rsidR="00D549B9" w:rsidRPr="00602C61">
        <w:rPr>
          <w:rFonts w:cs="Arial"/>
          <w:color w:val="000000"/>
          <w:szCs w:val="22"/>
          <w:lang w:val="fr-CH"/>
        </w:rPr>
        <w:t xml:space="preserve">vise l’amélioration de la protection des données </w:t>
      </w:r>
      <w:r w:rsidR="00B35EC7">
        <w:rPr>
          <w:rFonts w:cs="Arial"/>
          <w:color w:val="000000"/>
          <w:szCs w:val="22"/>
          <w:lang w:val="fr-CH"/>
        </w:rPr>
        <w:t>lors de leur traitement</w:t>
      </w:r>
      <w:r w:rsidR="00527525" w:rsidRPr="00602C61">
        <w:rPr>
          <w:rFonts w:cs="Arial"/>
          <w:color w:val="000000"/>
          <w:szCs w:val="22"/>
          <w:lang w:val="fr-CH"/>
        </w:rPr>
        <w:t xml:space="preserve"> dans les domaines de la police et de la justice </w:t>
      </w:r>
      <w:r w:rsidR="00035E30" w:rsidRPr="00602C61">
        <w:rPr>
          <w:rFonts w:cs="Arial"/>
          <w:color w:val="000000"/>
          <w:szCs w:val="22"/>
          <w:lang w:val="fr-CH"/>
        </w:rPr>
        <w:t>(</w:t>
      </w:r>
      <w:r w:rsidR="000F5297" w:rsidRPr="00602C61">
        <w:rPr>
          <w:rFonts w:cs="Arial"/>
          <w:color w:val="000000"/>
          <w:szCs w:val="22"/>
          <w:lang w:val="fr-CH"/>
        </w:rPr>
        <w:t xml:space="preserve">harmonisation de la législation en matière de protection des données </w:t>
      </w:r>
      <w:r w:rsidR="00A336F1">
        <w:rPr>
          <w:rFonts w:cs="Arial"/>
          <w:color w:val="000000"/>
          <w:szCs w:val="22"/>
          <w:lang w:val="fr-CH"/>
        </w:rPr>
        <w:t>avec</w:t>
      </w:r>
      <w:r w:rsidR="00A336F1" w:rsidRPr="00602C61">
        <w:rPr>
          <w:rFonts w:cs="Arial"/>
          <w:color w:val="000000"/>
          <w:szCs w:val="22"/>
          <w:lang w:val="fr-CH"/>
        </w:rPr>
        <w:t xml:space="preserve"> </w:t>
      </w:r>
      <w:r w:rsidR="000F5297" w:rsidRPr="00602C61">
        <w:rPr>
          <w:rFonts w:cs="Arial"/>
          <w:color w:val="000000"/>
          <w:szCs w:val="22"/>
          <w:lang w:val="fr-CH"/>
        </w:rPr>
        <w:t>la directive européenne 2016/680)</w:t>
      </w:r>
      <w:r w:rsidR="00035E30" w:rsidRPr="00602C61">
        <w:rPr>
          <w:rFonts w:cs="Arial"/>
          <w:color w:val="000000"/>
          <w:szCs w:val="22"/>
          <w:lang w:val="fr-CH"/>
        </w:rPr>
        <w:t xml:space="preserve">. </w:t>
      </w:r>
      <w:r w:rsidR="00F20B6D" w:rsidRPr="00602C61">
        <w:rPr>
          <w:rFonts w:cs="Arial"/>
          <w:color w:val="000000"/>
          <w:szCs w:val="22"/>
          <w:lang w:val="fr-CH"/>
        </w:rPr>
        <w:t xml:space="preserve">L’OiDPD ne </w:t>
      </w:r>
      <w:r w:rsidR="00B35EC7">
        <w:rPr>
          <w:rFonts w:cs="Arial"/>
          <w:color w:val="000000"/>
          <w:szCs w:val="22"/>
          <w:lang w:val="fr-CH"/>
        </w:rPr>
        <w:t>permet</w:t>
      </w:r>
      <w:r w:rsidR="00F20B6D" w:rsidRPr="00602C61">
        <w:rPr>
          <w:rFonts w:cs="Arial"/>
          <w:color w:val="000000"/>
          <w:szCs w:val="22"/>
          <w:lang w:val="fr-CH"/>
        </w:rPr>
        <w:t xml:space="preserve"> néanmoins pas une </w:t>
      </w:r>
      <w:r w:rsidR="00B35EC7">
        <w:rPr>
          <w:rFonts w:cs="Arial"/>
          <w:color w:val="000000"/>
          <w:szCs w:val="22"/>
          <w:lang w:val="fr-CH"/>
        </w:rPr>
        <w:t>adaptat</w:t>
      </w:r>
      <w:r w:rsidR="00F20B6D" w:rsidRPr="00602C61">
        <w:rPr>
          <w:rFonts w:cs="Arial"/>
          <w:color w:val="000000"/>
          <w:szCs w:val="22"/>
          <w:lang w:val="fr-CH"/>
        </w:rPr>
        <w:t>ion générale –</w:t>
      </w:r>
      <w:r w:rsidR="00B35EC7">
        <w:rPr>
          <w:rFonts w:cs="Arial"/>
          <w:color w:val="000000"/>
          <w:szCs w:val="22"/>
          <w:lang w:val="fr-CH"/>
        </w:rPr>
        <w:t xml:space="preserve">s’appliquant </w:t>
      </w:r>
      <w:r w:rsidR="00F20B6D" w:rsidRPr="00602C61">
        <w:rPr>
          <w:rFonts w:cs="Arial"/>
          <w:color w:val="000000"/>
          <w:szCs w:val="22"/>
          <w:lang w:val="fr-CH"/>
        </w:rPr>
        <w:t xml:space="preserve">également </w:t>
      </w:r>
      <w:r w:rsidR="00B35EC7">
        <w:rPr>
          <w:rFonts w:cs="Arial"/>
          <w:color w:val="000000"/>
          <w:szCs w:val="22"/>
          <w:lang w:val="fr-CH"/>
        </w:rPr>
        <w:t>aux</w:t>
      </w:r>
      <w:r w:rsidR="00F20B6D" w:rsidRPr="00602C61">
        <w:rPr>
          <w:rFonts w:cs="Arial"/>
          <w:color w:val="000000"/>
          <w:szCs w:val="22"/>
          <w:lang w:val="fr-CH"/>
        </w:rPr>
        <w:t xml:space="preserve"> collectivités de droit communal – </w:t>
      </w:r>
      <w:r w:rsidR="00971035">
        <w:rPr>
          <w:rFonts w:cs="Arial"/>
          <w:color w:val="000000"/>
          <w:szCs w:val="22"/>
          <w:lang w:val="fr-CH"/>
        </w:rPr>
        <w:t>au</w:t>
      </w:r>
      <w:r w:rsidR="00F20B6D" w:rsidRPr="00602C61">
        <w:rPr>
          <w:rFonts w:cs="Arial"/>
          <w:color w:val="000000"/>
          <w:szCs w:val="22"/>
          <w:lang w:val="fr-CH"/>
        </w:rPr>
        <w:t xml:space="preserve"> droit européen revu (</w:t>
      </w:r>
      <w:r w:rsidR="00B35EC7">
        <w:rPr>
          <w:rFonts w:cs="Arial"/>
          <w:color w:val="000000"/>
          <w:szCs w:val="22"/>
          <w:lang w:val="fr-CH"/>
        </w:rPr>
        <w:t xml:space="preserve">plus précisément le </w:t>
      </w:r>
      <w:r w:rsidR="00F20B6D" w:rsidRPr="00602C61">
        <w:rPr>
          <w:rFonts w:cs="Arial"/>
          <w:color w:val="000000"/>
          <w:szCs w:val="22"/>
          <w:lang w:val="fr-CH"/>
        </w:rPr>
        <w:t>règlement [UE] 2016/679 [règlement général sur la protection des données</w:t>
      </w:r>
      <w:r w:rsidR="00B35EC7">
        <w:rPr>
          <w:rFonts w:cs="Arial"/>
          <w:color w:val="000000"/>
          <w:szCs w:val="22"/>
          <w:lang w:val="fr-CH"/>
        </w:rPr>
        <w:t>, RGPD</w:t>
      </w:r>
      <w:r w:rsidR="00F20B6D" w:rsidRPr="00602C61">
        <w:rPr>
          <w:rFonts w:cs="Arial"/>
          <w:color w:val="000000"/>
          <w:szCs w:val="22"/>
          <w:lang w:val="fr-CH"/>
        </w:rPr>
        <w:t>]</w:t>
      </w:r>
      <w:r w:rsidR="00D56D83" w:rsidRPr="00602C61">
        <w:rPr>
          <w:rFonts w:cs="Arial"/>
          <w:color w:val="000000"/>
          <w:szCs w:val="22"/>
          <w:lang w:val="fr-CH"/>
        </w:rPr>
        <w:t xml:space="preserve">, dans la mesure où cela est pertinent, </w:t>
      </w:r>
      <w:r w:rsidR="00B35EC7">
        <w:rPr>
          <w:rFonts w:cs="Arial"/>
          <w:color w:val="000000"/>
          <w:szCs w:val="22"/>
          <w:lang w:val="fr-CH"/>
        </w:rPr>
        <w:t xml:space="preserve">et </w:t>
      </w:r>
      <w:r w:rsidR="00D56D83" w:rsidRPr="00602C61">
        <w:rPr>
          <w:rFonts w:cs="Arial"/>
          <w:color w:val="000000"/>
          <w:szCs w:val="22"/>
          <w:lang w:val="fr-CH"/>
        </w:rPr>
        <w:t>la convention n</w:t>
      </w:r>
      <w:r w:rsidR="00D56D83" w:rsidRPr="00602C61">
        <w:rPr>
          <w:rFonts w:cs="Arial"/>
          <w:color w:val="000000"/>
          <w:szCs w:val="22"/>
          <w:vertAlign w:val="superscript"/>
          <w:lang w:val="fr-CH"/>
        </w:rPr>
        <w:t>o</w:t>
      </w:r>
      <w:r w:rsidR="00D56D83" w:rsidRPr="00602C61">
        <w:rPr>
          <w:rFonts w:cs="Arial"/>
          <w:color w:val="000000"/>
          <w:szCs w:val="22"/>
          <w:lang w:val="fr-CH"/>
        </w:rPr>
        <w:t>108 du Conseil de l’Europe</w:t>
      </w:r>
      <w:r w:rsidR="00FA7CD4">
        <w:rPr>
          <w:rFonts w:cs="Arial"/>
          <w:color w:val="000000"/>
          <w:szCs w:val="22"/>
          <w:lang w:val="fr-CH"/>
        </w:rPr>
        <w:t xml:space="preserve"> telle que modifiée</w:t>
      </w:r>
      <w:r w:rsidR="00D56D83" w:rsidRPr="00602C61">
        <w:rPr>
          <w:rFonts w:cs="Arial"/>
          <w:color w:val="000000"/>
          <w:szCs w:val="22"/>
          <w:lang w:val="fr-CH"/>
        </w:rPr>
        <w:t xml:space="preserve">). </w:t>
      </w:r>
    </w:p>
    <w:p w:rsidR="00301F67" w:rsidRPr="00602C61" w:rsidRDefault="005C4637" w:rsidP="00484FC5">
      <w:pPr>
        <w:rPr>
          <w:rFonts w:cs="Arial"/>
          <w:color w:val="000000"/>
          <w:szCs w:val="22"/>
          <w:lang w:val="fr-CH"/>
        </w:rPr>
      </w:pPr>
      <w:r w:rsidRPr="00602C61">
        <w:rPr>
          <w:rFonts w:cs="Arial"/>
          <w:color w:val="000000"/>
          <w:szCs w:val="22"/>
          <w:lang w:val="fr-CH"/>
        </w:rPr>
        <w:t xml:space="preserve">Les collectivités de droit communal ont par conséquent demandé plusieurs fois de clarifier deux </w:t>
      </w:r>
      <w:r w:rsidR="00B35EC7">
        <w:rPr>
          <w:rFonts w:cs="Arial"/>
          <w:color w:val="000000"/>
          <w:szCs w:val="22"/>
          <w:lang w:val="fr-CH"/>
        </w:rPr>
        <w:t>cas de figure</w:t>
      </w:r>
      <w:r w:rsidR="00BB5CF8" w:rsidRPr="00602C61">
        <w:rPr>
          <w:rFonts w:cs="Arial"/>
          <w:color w:val="000000"/>
          <w:szCs w:val="22"/>
          <w:lang w:val="fr-CH"/>
        </w:rPr>
        <w:t>. Premièrement, les collectivités qui n’assument aucune tâche de police craignaient d’être exclues</w:t>
      </w:r>
      <w:r w:rsidR="00B319A5" w:rsidRPr="00602C61">
        <w:rPr>
          <w:rFonts w:cs="Arial"/>
          <w:color w:val="000000"/>
          <w:szCs w:val="22"/>
          <w:lang w:val="fr-CH"/>
        </w:rPr>
        <w:t xml:space="preserve"> du flux d’informations </w:t>
      </w:r>
      <w:r w:rsidR="00B35EC7">
        <w:rPr>
          <w:rFonts w:cs="Arial"/>
          <w:color w:val="000000"/>
          <w:szCs w:val="22"/>
          <w:lang w:val="fr-CH"/>
        </w:rPr>
        <w:t>policières</w:t>
      </w:r>
      <w:r w:rsidR="00B319A5" w:rsidRPr="00602C61">
        <w:rPr>
          <w:rFonts w:cs="Arial"/>
          <w:color w:val="000000"/>
          <w:szCs w:val="22"/>
          <w:lang w:val="fr-CH"/>
        </w:rPr>
        <w:t xml:space="preserve"> de l’espace Schengen, car elles ne satisfaisaient plus aux exigences européennes en matière de protection des données. </w:t>
      </w:r>
      <w:r w:rsidR="00AA6C17" w:rsidRPr="00602C61">
        <w:rPr>
          <w:rFonts w:cs="Arial"/>
          <w:color w:val="000000"/>
          <w:szCs w:val="22"/>
          <w:lang w:val="fr-CH"/>
        </w:rPr>
        <w:t xml:space="preserve">Concrètement, </w:t>
      </w:r>
      <w:r w:rsidR="00D131EA">
        <w:rPr>
          <w:rFonts w:cs="Arial"/>
          <w:color w:val="000000"/>
          <w:szCs w:val="22"/>
          <w:lang w:val="fr-CH"/>
        </w:rPr>
        <w:t>cela signifierait qu’</w:t>
      </w:r>
      <w:r w:rsidR="00AA6C17" w:rsidRPr="00602C61">
        <w:rPr>
          <w:rFonts w:cs="Arial"/>
          <w:color w:val="000000"/>
          <w:szCs w:val="22"/>
          <w:lang w:val="fr-CH"/>
        </w:rPr>
        <w:t>une information transmise par les autorités européennes de police sur la dangerosité d’un individu ne serait</w:t>
      </w:r>
      <w:r w:rsidR="00DE78E7">
        <w:rPr>
          <w:rFonts w:cs="Arial"/>
          <w:color w:val="000000"/>
          <w:szCs w:val="22"/>
          <w:lang w:val="fr-CH"/>
        </w:rPr>
        <w:t xml:space="preserve"> </w:t>
      </w:r>
      <w:r w:rsidR="00D131EA">
        <w:rPr>
          <w:rFonts w:cs="Arial"/>
          <w:color w:val="000000"/>
          <w:szCs w:val="22"/>
          <w:lang w:val="fr-CH"/>
        </w:rPr>
        <w:t>p</w:t>
      </w:r>
      <w:r w:rsidR="00AA6C17" w:rsidRPr="00602C61">
        <w:rPr>
          <w:rFonts w:cs="Arial"/>
          <w:color w:val="000000"/>
          <w:szCs w:val="22"/>
          <w:lang w:val="fr-CH"/>
        </w:rPr>
        <w:t xml:space="preserve">lus communiquée au service social qui </w:t>
      </w:r>
      <w:r w:rsidR="00B36059" w:rsidRPr="00602C61">
        <w:rPr>
          <w:rFonts w:cs="Arial"/>
          <w:color w:val="000000"/>
          <w:szCs w:val="22"/>
          <w:lang w:val="fr-CH"/>
        </w:rPr>
        <w:t xml:space="preserve">suit </w:t>
      </w:r>
      <w:r w:rsidR="00111695" w:rsidRPr="00602C61">
        <w:rPr>
          <w:rFonts w:cs="Arial"/>
          <w:color w:val="000000"/>
          <w:szCs w:val="22"/>
          <w:lang w:val="fr-CH"/>
        </w:rPr>
        <w:t>le</w:t>
      </w:r>
      <w:r w:rsidR="00B36059" w:rsidRPr="00602C61">
        <w:rPr>
          <w:rFonts w:cs="Arial"/>
          <w:color w:val="000000"/>
          <w:szCs w:val="22"/>
          <w:lang w:val="fr-CH"/>
        </w:rPr>
        <w:t xml:space="preserve"> dossier</w:t>
      </w:r>
      <w:r w:rsidR="000643F3" w:rsidRPr="00602C61">
        <w:rPr>
          <w:rFonts w:cs="Arial"/>
          <w:color w:val="000000"/>
          <w:szCs w:val="22"/>
          <w:lang w:val="fr-CH"/>
        </w:rPr>
        <w:t xml:space="preserve">. </w:t>
      </w:r>
      <w:r w:rsidR="00B36059" w:rsidRPr="00602C61">
        <w:rPr>
          <w:rFonts w:cs="Arial"/>
          <w:color w:val="000000"/>
          <w:szCs w:val="22"/>
          <w:lang w:val="fr-CH"/>
        </w:rPr>
        <w:t xml:space="preserve">Deuxièmement, les communes touristiques et </w:t>
      </w:r>
      <w:r w:rsidR="00DE78E7">
        <w:rPr>
          <w:rFonts w:cs="Arial"/>
          <w:color w:val="000000"/>
          <w:szCs w:val="22"/>
          <w:lang w:val="fr-CH"/>
        </w:rPr>
        <w:t>celles</w:t>
      </w:r>
      <w:r w:rsidR="00A67C00" w:rsidRPr="00602C61">
        <w:rPr>
          <w:rFonts w:cs="Arial"/>
          <w:color w:val="000000"/>
          <w:szCs w:val="22"/>
          <w:lang w:val="fr-CH"/>
        </w:rPr>
        <w:t xml:space="preserve"> </w:t>
      </w:r>
      <w:r w:rsidR="00F4508F" w:rsidRPr="00602C61">
        <w:rPr>
          <w:rFonts w:cs="Arial"/>
          <w:color w:val="000000"/>
          <w:szCs w:val="22"/>
          <w:lang w:val="fr-CH"/>
        </w:rPr>
        <w:t>qui veulent s’adresser à des entreprises étrangères (promotion économique) redoutaient que, du moment que leur site Internet visait expressément un public étranger (p. ex. des touristes suédois au moyen d’une offre ciblée rédigée en suédois), le traitement des données en résulta</w:t>
      </w:r>
      <w:r w:rsidR="00A67C00" w:rsidRPr="00602C61">
        <w:rPr>
          <w:rFonts w:cs="Arial"/>
          <w:color w:val="000000"/>
          <w:szCs w:val="22"/>
          <w:lang w:val="fr-CH"/>
        </w:rPr>
        <w:t>n</w:t>
      </w:r>
      <w:r w:rsidR="00F4508F" w:rsidRPr="00602C61">
        <w:rPr>
          <w:rFonts w:cs="Arial"/>
          <w:color w:val="000000"/>
          <w:szCs w:val="22"/>
          <w:lang w:val="fr-CH"/>
        </w:rPr>
        <w:t>t</w:t>
      </w:r>
      <w:r w:rsidR="00B36059" w:rsidRPr="00602C61">
        <w:rPr>
          <w:rFonts w:cs="Arial"/>
          <w:color w:val="000000"/>
          <w:szCs w:val="22"/>
          <w:lang w:val="fr-CH"/>
        </w:rPr>
        <w:t xml:space="preserve"> </w:t>
      </w:r>
      <w:r w:rsidR="00D131EA">
        <w:rPr>
          <w:rFonts w:cs="Arial"/>
          <w:color w:val="000000"/>
          <w:szCs w:val="22"/>
          <w:lang w:val="fr-CH"/>
        </w:rPr>
        <w:t>puisse,</w:t>
      </w:r>
      <w:r w:rsidR="00F4508F" w:rsidRPr="00602C61">
        <w:rPr>
          <w:rFonts w:cs="Arial"/>
          <w:color w:val="000000"/>
          <w:szCs w:val="22"/>
          <w:lang w:val="fr-CH"/>
        </w:rPr>
        <w:t xml:space="preserve"> en raison de leur portée extraterritoriale, tomber sous le coup du droit européen (</w:t>
      </w:r>
      <w:r w:rsidR="00AB3535">
        <w:rPr>
          <w:rFonts w:cs="Arial"/>
          <w:color w:val="000000"/>
          <w:szCs w:val="22"/>
          <w:lang w:val="fr-CH"/>
        </w:rPr>
        <w:t>RGPD</w:t>
      </w:r>
      <w:r w:rsidR="00F4508F" w:rsidRPr="00602C61">
        <w:rPr>
          <w:rFonts w:cs="Arial"/>
          <w:color w:val="000000"/>
          <w:szCs w:val="22"/>
          <w:lang w:val="fr-CH"/>
        </w:rPr>
        <w:t>)</w:t>
      </w:r>
      <w:r w:rsidR="00570EBE" w:rsidRPr="00602C61">
        <w:rPr>
          <w:rFonts w:cs="Arial"/>
          <w:color w:val="000000"/>
          <w:szCs w:val="22"/>
          <w:lang w:val="fr-CH"/>
        </w:rPr>
        <w:t xml:space="preserve">. </w:t>
      </w:r>
    </w:p>
    <w:p w:rsidR="00AF1BFC" w:rsidRPr="00602C61" w:rsidRDefault="00275C30" w:rsidP="0096775F">
      <w:pPr>
        <w:rPr>
          <w:b/>
          <w:lang w:val="fr-CH"/>
        </w:rPr>
      </w:pPr>
      <w:r w:rsidRPr="00602C61">
        <w:rPr>
          <w:rFonts w:cs="Arial"/>
          <w:color w:val="000000"/>
          <w:szCs w:val="22"/>
          <w:lang w:val="fr-CH"/>
        </w:rPr>
        <w:t xml:space="preserve">Les articles 1 à 10 de l’ordonnance-type tiennent compte de ces craintes. </w:t>
      </w:r>
      <w:r w:rsidR="00471535" w:rsidRPr="00602C61">
        <w:rPr>
          <w:rFonts w:cs="Arial"/>
          <w:color w:val="000000"/>
          <w:szCs w:val="22"/>
          <w:lang w:val="fr-CH"/>
        </w:rPr>
        <w:t xml:space="preserve">Ces dispositions ont été rédigées de façon à mettre formellement en œuvre la directive </w:t>
      </w:r>
      <w:r w:rsidR="00570EBE" w:rsidRPr="00602C61">
        <w:rPr>
          <w:rFonts w:cs="Arial"/>
          <w:color w:val="000000"/>
          <w:szCs w:val="22"/>
          <w:lang w:val="fr-CH"/>
        </w:rPr>
        <w:t xml:space="preserve">2016/680, </w:t>
      </w:r>
      <w:r w:rsidR="00795488" w:rsidRPr="00602C61">
        <w:rPr>
          <w:rFonts w:cs="Arial"/>
          <w:color w:val="000000"/>
          <w:szCs w:val="22"/>
          <w:lang w:val="fr-CH"/>
        </w:rPr>
        <w:t>tout en satisfaisant</w:t>
      </w:r>
      <w:r w:rsidR="00BB4B74" w:rsidRPr="00602C61">
        <w:rPr>
          <w:rFonts w:cs="Arial"/>
          <w:color w:val="000000"/>
          <w:szCs w:val="22"/>
          <w:lang w:val="fr-CH"/>
        </w:rPr>
        <w:t xml:space="preserve"> sur le fond</w:t>
      </w:r>
      <w:r w:rsidR="00795488" w:rsidRPr="00602C61">
        <w:rPr>
          <w:rFonts w:cs="Arial"/>
          <w:color w:val="000000"/>
          <w:szCs w:val="22"/>
          <w:lang w:val="fr-CH"/>
        </w:rPr>
        <w:t xml:space="preserve">, du moins autant que l’on puisse pour l’heure en juger, aux exigences essentielles du droit européen </w:t>
      </w:r>
      <w:r w:rsidR="00F10B53" w:rsidRPr="00602C61">
        <w:rPr>
          <w:rFonts w:cs="Arial"/>
          <w:color w:val="000000"/>
          <w:szCs w:val="22"/>
          <w:lang w:val="fr-CH"/>
        </w:rPr>
        <w:t>(</w:t>
      </w:r>
      <w:r w:rsidR="00C45758">
        <w:rPr>
          <w:rFonts w:cs="Arial"/>
          <w:color w:val="000000"/>
          <w:szCs w:val="22"/>
          <w:lang w:val="fr-CH"/>
        </w:rPr>
        <w:t>RGPD</w:t>
      </w:r>
      <w:r w:rsidR="00F10B53" w:rsidRPr="00602C61">
        <w:rPr>
          <w:rFonts w:cs="Arial"/>
          <w:color w:val="000000"/>
          <w:szCs w:val="22"/>
          <w:lang w:val="fr-CH"/>
        </w:rPr>
        <w:t>, dans la mesure où cela est pertinent, et convention n</w:t>
      </w:r>
      <w:r w:rsidR="00F10B53" w:rsidRPr="00602C61">
        <w:rPr>
          <w:rFonts w:cs="Arial"/>
          <w:color w:val="000000"/>
          <w:szCs w:val="22"/>
          <w:vertAlign w:val="superscript"/>
          <w:lang w:val="fr-CH"/>
        </w:rPr>
        <w:t>o</w:t>
      </w:r>
      <w:r w:rsidR="00F10B53" w:rsidRPr="00602C61">
        <w:rPr>
          <w:rFonts w:cs="Arial"/>
          <w:color w:val="000000"/>
          <w:szCs w:val="22"/>
          <w:lang w:val="fr-CH"/>
        </w:rPr>
        <w:t xml:space="preserve">108 du Conseil de l’Europe). La Conférence des gouvernements cantonaux (CdC) a produit un </w:t>
      </w:r>
      <w:r w:rsidR="00A336F1">
        <w:rPr>
          <w:rFonts w:cs="Arial"/>
          <w:color w:val="000000"/>
          <w:szCs w:val="22"/>
          <w:lang w:val="fr-CH"/>
        </w:rPr>
        <w:t>guide pratique</w:t>
      </w:r>
      <w:r w:rsidR="00A336F1" w:rsidRPr="00602C61">
        <w:rPr>
          <w:rFonts w:cs="Arial"/>
          <w:color w:val="000000"/>
          <w:szCs w:val="22"/>
          <w:lang w:val="fr-CH"/>
        </w:rPr>
        <w:t xml:space="preserve"> </w:t>
      </w:r>
      <w:r w:rsidR="00F10B53" w:rsidRPr="00602C61">
        <w:rPr>
          <w:rFonts w:cs="Arial"/>
          <w:color w:val="000000"/>
          <w:szCs w:val="22"/>
          <w:lang w:val="fr-CH"/>
        </w:rPr>
        <w:t>à ce sujet</w:t>
      </w:r>
      <w:r w:rsidR="00C45758">
        <w:rPr>
          <w:rFonts w:cs="Arial"/>
          <w:color w:val="000000"/>
          <w:szCs w:val="22"/>
          <w:lang w:val="fr-CH"/>
        </w:rPr>
        <w:t xml:space="preserve"> intitulé</w:t>
      </w:r>
      <w:proofErr w:type="gramStart"/>
      <w:r w:rsidR="00C45758">
        <w:rPr>
          <w:rFonts w:cs="Arial"/>
          <w:color w:val="000000"/>
          <w:szCs w:val="22"/>
          <w:lang w:val="fr-CH"/>
        </w:rPr>
        <w:t xml:space="preserve"> </w:t>
      </w:r>
      <w:r w:rsidR="00A336F1">
        <w:rPr>
          <w:rFonts w:cs="Arial"/>
          <w:color w:val="000000"/>
          <w:szCs w:val="22"/>
          <w:lang w:val="fr-CH"/>
        </w:rPr>
        <w:t>«</w:t>
      </w:r>
      <w:r w:rsidR="00A336F1">
        <w:rPr>
          <w:rFonts w:cs="Arial"/>
          <w:i/>
          <w:color w:val="000000"/>
          <w:szCs w:val="22"/>
          <w:lang w:val="fr-CH"/>
        </w:rPr>
        <w:t>Réforme</w:t>
      </w:r>
      <w:proofErr w:type="gramEnd"/>
      <w:r w:rsidR="00A336F1">
        <w:rPr>
          <w:rFonts w:cs="Arial"/>
          <w:i/>
          <w:color w:val="000000"/>
          <w:szCs w:val="22"/>
          <w:lang w:val="fr-CH"/>
        </w:rPr>
        <w:t xml:space="preserve"> européenne de la protection des données/Modernisation de la Convention du Conseil de l’Europe (Convention 108): adaptation des lois cantonales sur (l’information et) la protection des données»</w:t>
      </w:r>
      <w:r w:rsidR="00570EBE" w:rsidRPr="00602C61">
        <w:rPr>
          <w:rFonts w:cs="Arial"/>
          <w:color w:val="000000"/>
          <w:szCs w:val="22"/>
          <w:lang w:val="fr-CH"/>
        </w:rPr>
        <w:t xml:space="preserve">. </w:t>
      </w:r>
      <w:r w:rsidR="00F10B53" w:rsidRPr="00602C61">
        <w:rPr>
          <w:rFonts w:cs="Arial"/>
          <w:color w:val="000000"/>
          <w:szCs w:val="22"/>
          <w:lang w:val="fr-CH"/>
        </w:rPr>
        <w:t xml:space="preserve">Le fait que l’ordonnance-type contienne les articles de l’OiDPD </w:t>
      </w:r>
      <w:r w:rsidR="006F4AF0" w:rsidRPr="00602C61">
        <w:rPr>
          <w:rFonts w:cs="Arial"/>
          <w:color w:val="000000"/>
          <w:szCs w:val="22"/>
          <w:lang w:val="fr-CH"/>
        </w:rPr>
        <w:t xml:space="preserve">et abandonne la restriction du champ d’application aux domaines de la police et </w:t>
      </w:r>
      <w:r w:rsidR="00AB1A5E">
        <w:rPr>
          <w:rFonts w:cs="Arial"/>
          <w:color w:val="000000"/>
          <w:szCs w:val="22"/>
          <w:lang w:val="fr-CH"/>
        </w:rPr>
        <w:t xml:space="preserve">de la </w:t>
      </w:r>
      <w:r w:rsidR="006F4AF0" w:rsidRPr="00602C61">
        <w:rPr>
          <w:rFonts w:cs="Arial"/>
          <w:color w:val="000000"/>
          <w:szCs w:val="22"/>
          <w:lang w:val="fr-CH"/>
        </w:rPr>
        <w:t xml:space="preserve">justice permet aux collectivités </w:t>
      </w:r>
      <w:r w:rsidR="00AB1A5E">
        <w:rPr>
          <w:rFonts w:cs="Arial"/>
          <w:color w:val="000000"/>
          <w:szCs w:val="22"/>
          <w:lang w:val="fr-CH"/>
        </w:rPr>
        <w:t>de se hisser au</w:t>
      </w:r>
      <w:r w:rsidR="006F4AF0" w:rsidRPr="00602C61">
        <w:rPr>
          <w:rFonts w:cs="Arial"/>
          <w:color w:val="000000"/>
          <w:szCs w:val="22"/>
          <w:lang w:val="fr-CH"/>
        </w:rPr>
        <w:t xml:space="preserve"> </w:t>
      </w:r>
      <w:r w:rsidR="006F4AF0" w:rsidRPr="00602C61">
        <w:rPr>
          <w:rFonts w:cs="Arial"/>
          <w:b/>
          <w:color w:val="000000"/>
          <w:szCs w:val="22"/>
          <w:lang w:val="fr-CH"/>
        </w:rPr>
        <w:t xml:space="preserve">niveau européen </w:t>
      </w:r>
      <w:r w:rsidR="00661EB5">
        <w:rPr>
          <w:rFonts w:cs="Arial"/>
          <w:b/>
          <w:color w:val="000000"/>
          <w:szCs w:val="22"/>
          <w:lang w:val="fr-CH"/>
        </w:rPr>
        <w:t xml:space="preserve">en matière </w:t>
      </w:r>
      <w:r w:rsidR="006F4AF0" w:rsidRPr="00602C61">
        <w:rPr>
          <w:rFonts w:cs="Arial"/>
          <w:b/>
          <w:color w:val="000000"/>
          <w:szCs w:val="22"/>
          <w:lang w:val="fr-CH"/>
        </w:rPr>
        <w:t>de protection des données</w:t>
      </w:r>
      <w:r w:rsidR="006F4AF0" w:rsidRPr="00602C61">
        <w:rPr>
          <w:rFonts w:cs="Arial"/>
          <w:color w:val="000000"/>
          <w:szCs w:val="22"/>
          <w:lang w:val="fr-CH"/>
        </w:rPr>
        <w:t xml:space="preserve">. </w:t>
      </w:r>
      <w:r w:rsidR="00E95255" w:rsidRPr="00602C61">
        <w:rPr>
          <w:rFonts w:cs="Arial"/>
          <w:color w:val="000000"/>
          <w:szCs w:val="22"/>
          <w:lang w:val="fr-CH"/>
        </w:rPr>
        <w:t xml:space="preserve">C’est aussi pour cela que la teneur de l’OiDPD et du rapport y relatif est reprise </w:t>
      </w:r>
      <w:r w:rsidR="00AB1A5E">
        <w:rPr>
          <w:rFonts w:cs="Arial"/>
          <w:color w:val="000000"/>
          <w:szCs w:val="22"/>
          <w:lang w:val="fr-CH"/>
        </w:rPr>
        <w:t>presque inchangée</w:t>
      </w:r>
      <w:r w:rsidR="00A029B5" w:rsidRPr="00602C61">
        <w:rPr>
          <w:rFonts w:cs="Arial"/>
          <w:color w:val="000000"/>
          <w:szCs w:val="22"/>
          <w:lang w:val="fr-CH"/>
        </w:rPr>
        <w:t>, ce qui devrait apaiser les craintes des communes.</w:t>
      </w:r>
      <w:r w:rsidR="00E95255" w:rsidRPr="00602C61">
        <w:rPr>
          <w:rFonts w:cs="Arial"/>
          <w:color w:val="000000"/>
          <w:szCs w:val="22"/>
          <w:lang w:val="fr-CH"/>
        </w:rPr>
        <w:t xml:space="preserve"> </w:t>
      </w:r>
      <w:r w:rsidR="00A029B5" w:rsidRPr="00602C61">
        <w:rPr>
          <w:rFonts w:cs="Arial"/>
          <w:color w:val="000000"/>
          <w:szCs w:val="22"/>
          <w:lang w:val="fr-CH"/>
        </w:rPr>
        <w:t xml:space="preserve">Les collectivités invitées à reprendre les dispositions de l’ordonnance-type sont surtout celles concernées par les deux </w:t>
      </w:r>
      <w:r w:rsidR="00AB1A5E">
        <w:rPr>
          <w:rFonts w:cs="Arial"/>
          <w:color w:val="000000"/>
          <w:szCs w:val="22"/>
          <w:lang w:val="fr-CH"/>
        </w:rPr>
        <w:t>situations mentionnées ci-dessus</w:t>
      </w:r>
      <w:r w:rsidR="00A029B5" w:rsidRPr="00602C61">
        <w:rPr>
          <w:rFonts w:cs="Arial"/>
          <w:color w:val="000000"/>
          <w:szCs w:val="22"/>
          <w:lang w:val="fr-CH"/>
        </w:rPr>
        <w:t xml:space="preserve"> </w:t>
      </w:r>
      <w:r w:rsidR="00F3674C" w:rsidRPr="00602C61">
        <w:rPr>
          <w:rFonts w:cs="Arial"/>
          <w:color w:val="000000"/>
          <w:szCs w:val="22"/>
          <w:lang w:val="fr-CH"/>
        </w:rPr>
        <w:t>(</w:t>
      </w:r>
      <w:r w:rsidR="003A475E" w:rsidRPr="00602C61">
        <w:rPr>
          <w:rFonts w:cs="Arial"/>
          <w:color w:val="000000"/>
          <w:szCs w:val="22"/>
          <w:lang w:val="fr-CH"/>
        </w:rPr>
        <w:t xml:space="preserve">offres sur Internet ciblant un public européen, diffusion des </w:t>
      </w:r>
      <w:r w:rsidR="003A475E" w:rsidRPr="00602C61">
        <w:rPr>
          <w:rFonts w:cs="Arial"/>
          <w:color w:val="000000"/>
          <w:szCs w:val="22"/>
          <w:lang w:val="fr-CH"/>
        </w:rPr>
        <w:lastRenderedPageBreak/>
        <w:t>informations relevant de la police dans l’</w:t>
      </w:r>
      <w:r w:rsidR="00CC427B" w:rsidRPr="00602C61">
        <w:rPr>
          <w:rFonts w:cs="Arial"/>
          <w:color w:val="000000"/>
          <w:szCs w:val="22"/>
          <w:lang w:val="fr-CH"/>
        </w:rPr>
        <w:t xml:space="preserve">espace Schengen). La nouvelle réglementation </w:t>
      </w:r>
      <w:r w:rsidR="00AB1A5E">
        <w:rPr>
          <w:rFonts w:cs="Arial"/>
          <w:color w:val="000000"/>
          <w:szCs w:val="22"/>
          <w:lang w:val="fr-CH"/>
        </w:rPr>
        <w:t>aborde</w:t>
      </w:r>
      <w:r w:rsidR="00CC427B" w:rsidRPr="00602C61">
        <w:rPr>
          <w:rFonts w:cs="Arial"/>
          <w:color w:val="000000"/>
          <w:szCs w:val="22"/>
          <w:lang w:val="fr-CH"/>
        </w:rPr>
        <w:t xml:space="preserve"> essentiellement les points suivants: </w:t>
      </w:r>
    </w:p>
    <w:p w:rsidR="00492F42" w:rsidRPr="00602C61" w:rsidRDefault="00225055" w:rsidP="00225055">
      <w:pPr>
        <w:pStyle w:val="Default"/>
        <w:ind w:left="1418"/>
        <w:rPr>
          <w:sz w:val="22"/>
          <w:szCs w:val="22"/>
          <w:lang w:val="fr-CH"/>
        </w:rPr>
      </w:pPr>
      <w:r w:rsidRPr="00602C61">
        <w:rPr>
          <w:sz w:val="22"/>
          <w:szCs w:val="22"/>
          <w:lang w:val="fr-CH"/>
        </w:rPr>
        <w:t xml:space="preserve">- </w:t>
      </w:r>
      <w:r w:rsidR="00956C0D" w:rsidRPr="00602C61">
        <w:rPr>
          <w:sz w:val="22"/>
          <w:szCs w:val="22"/>
          <w:lang w:val="fr-CH"/>
        </w:rPr>
        <w:t xml:space="preserve">Preuve du respect des dispositions sur la protection des données </w:t>
      </w:r>
    </w:p>
    <w:p w:rsidR="00492F42" w:rsidRPr="00602C61" w:rsidRDefault="00492F42" w:rsidP="00225055">
      <w:pPr>
        <w:pStyle w:val="Default"/>
        <w:ind w:left="1418"/>
        <w:rPr>
          <w:sz w:val="22"/>
          <w:szCs w:val="22"/>
          <w:lang w:val="fr-CH"/>
        </w:rPr>
      </w:pPr>
      <w:r w:rsidRPr="00602C61">
        <w:rPr>
          <w:sz w:val="22"/>
          <w:szCs w:val="22"/>
          <w:lang w:val="fr-CH"/>
        </w:rPr>
        <w:t xml:space="preserve">- </w:t>
      </w:r>
      <w:r w:rsidR="00FD2A65" w:rsidRPr="00602C61">
        <w:rPr>
          <w:sz w:val="22"/>
          <w:szCs w:val="22"/>
          <w:lang w:val="fr-CH"/>
        </w:rPr>
        <w:t>Devoir d’informer lors de la collecte de données personnelles</w:t>
      </w:r>
      <w:r w:rsidRPr="00602C61">
        <w:rPr>
          <w:sz w:val="22"/>
          <w:szCs w:val="22"/>
          <w:lang w:val="fr-CH"/>
        </w:rPr>
        <w:t xml:space="preserve"> </w:t>
      </w:r>
    </w:p>
    <w:p w:rsidR="00492F42" w:rsidRPr="00602C61" w:rsidRDefault="00492F42" w:rsidP="00225055">
      <w:pPr>
        <w:pStyle w:val="Default"/>
        <w:ind w:left="1418"/>
        <w:rPr>
          <w:sz w:val="22"/>
          <w:szCs w:val="22"/>
          <w:lang w:val="fr-CH"/>
        </w:rPr>
      </w:pPr>
      <w:r w:rsidRPr="00602C61">
        <w:rPr>
          <w:sz w:val="22"/>
          <w:szCs w:val="22"/>
          <w:lang w:val="fr-CH"/>
        </w:rPr>
        <w:t xml:space="preserve">- </w:t>
      </w:r>
      <w:r w:rsidR="00FD2A65" w:rsidRPr="00602C61">
        <w:rPr>
          <w:sz w:val="22"/>
          <w:szCs w:val="22"/>
          <w:lang w:val="fr-CH"/>
        </w:rPr>
        <w:t>Délai pour le traitement de</w:t>
      </w:r>
      <w:r w:rsidR="00766236">
        <w:rPr>
          <w:sz w:val="22"/>
          <w:szCs w:val="22"/>
          <w:lang w:val="fr-CH"/>
        </w:rPr>
        <w:t>s</w:t>
      </w:r>
      <w:r w:rsidR="00FD2A65" w:rsidRPr="00602C61">
        <w:rPr>
          <w:sz w:val="22"/>
          <w:szCs w:val="22"/>
          <w:lang w:val="fr-CH"/>
        </w:rPr>
        <w:t xml:space="preserve"> dénonciations adressées à l’autorité de surveillance </w:t>
      </w:r>
    </w:p>
    <w:p w:rsidR="00492F42" w:rsidRPr="00602C61" w:rsidRDefault="00492F42" w:rsidP="00225055">
      <w:pPr>
        <w:pStyle w:val="Default"/>
        <w:ind w:left="1418"/>
        <w:rPr>
          <w:szCs w:val="22"/>
          <w:lang w:val="fr-CH"/>
        </w:rPr>
      </w:pPr>
      <w:r w:rsidRPr="00602C61">
        <w:rPr>
          <w:sz w:val="22"/>
          <w:szCs w:val="22"/>
          <w:lang w:val="fr-CH"/>
        </w:rPr>
        <w:t xml:space="preserve">- </w:t>
      </w:r>
      <w:r w:rsidR="00764096" w:rsidRPr="00602C61">
        <w:rPr>
          <w:sz w:val="22"/>
          <w:szCs w:val="22"/>
          <w:lang w:val="fr-CH"/>
        </w:rPr>
        <w:t xml:space="preserve">Devoir de notifier les violations de la protection des données </w:t>
      </w:r>
    </w:p>
    <w:p w:rsidR="00AF1BFC" w:rsidRPr="00602C61" w:rsidRDefault="00492F42" w:rsidP="00225055">
      <w:pPr>
        <w:ind w:left="1418"/>
        <w:rPr>
          <w:b/>
          <w:lang w:val="fr-CH"/>
        </w:rPr>
      </w:pPr>
      <w:r w:rsidRPr="00602C61">
        <w:rPr>
          <w:szCs w:val="22"/>
          <w:lang w:val="fr-CH"/>
        </w:rPr>
        <w:t xml:space="preserve">- </w:t>
      </w:r>
      <w:r w:rsidR="00217A40" w:rsidRPr="00602C61">
        <w:rPr>
          <w:szCs w:val="22"/>
          <w:lang w:val="fr-CH"/>
        </w:rPr>
        <w:t xml:space="preserve">Communication aux destinataires des données personnelles accrue par rapport au droit en vigueur </w:t>
      </w:r>
    </w:p>
    <w:p w:rsidR="00492F42" w:rsidRPr="00602C61" w:rsidRDefault="00743E21" w:rsidP="0096775F">
      <w:pPr>
        <w:rPr>
          <w:b/>
          <w:lang w:val="fr-CH"/>
        </w:rPr>
      </w:pPr>
      <w:r w:rsidRPr="00602C61">
        <w:rPr>
          <w:rFonts w:cs="Arial"/>
          <w:color w:val="000000"/>
          <w:szCs w:val="22"/>
          <w:lang w:val="fr-CH"/>
        </w:rPr>
        <w:t xml:space="preserve">Augmenter le degré de protection des données constitue pour toutes les collectivités de droit communal une avancée judicieuse.  </w:t>
      </w:r>
    </w:p>
    <w:p w:rsidR="00225055" w:rsidRPr="00602C61" w:rsidRDefault="00225055" w:rsidP="0096775F">
      <w:pPr>
        <w:rPr>
          <w:b/>
          <w:lang w:val="fr-CH"/>
        </w:rPr>
      </w:pPr>
    </w:p>
    <w:p w:rsidR="00225055" w:rsidRPr="00602C61" w:rsidRDefault="00225055" w:rsidP="0096775F">
      <w:pPr>
        <w:rPr>
          <w:b/>
          <w:lang w:val="fr-CH"/>
        </w:rPr>
      </w:pPr>
    </w:p>
    <w:p w:rsidR="002347B9" w:rsidRPr="00602C61" w:rsidRDefault="00AA4609" w:rsidP="002347B9">
      <w:pPr>
        <w:rPr>
          <w:b/>
          <w:kern w:val="28"/>
          <w:szCs w:val="22"/>
          <w:lang w:val="fr-CH"/>
        </w:rPr>
      </w:pPr>
      <w:r w:rsidRPr="00602C61">
        <w:rPr>
          <w:b/>
          <w:kern w:val="28"/>
          <w:szCs w:val="22"/>
          <w:lang w:val="fr-CH"/>
        </w:rPr>
        <w:t xml:space="preserve">Remarques sur le complément à la législation cantonale en matière de protection des données </w:t>
      </w:r>
    </w:p>
    <w:p w:rsidR="00D5415D" w:rsidRPr="00602C61" w:rsidRDefault="00D5415D" w:rsidP="0096775F">
      <w:pPr>
        <w:rPr>
          <w:b/>
          <w:lang w:val="fr-CH"/>
        </w:rPr>
      </w:pPr>
    </w:p>
    <w:p w:rsidR="00834276" w:rsidRPr="00602C61" w:rsidRDefault="00834276" w:rsidP="0096775F">
      <w:pPr>
        <w:rPr>
          <w:b/>
          <w:lang w:val="fr-CH"/>
        </w:rPr>
      </w:pPr>
      <w:r w:rsidRPr="00602C61">
        <w:rPr>
          <w:b/>
          <w:lang w:val="fr-CH"/>
        </w:rPr>
        <w:t>Art</w:t>
      </w:r>
      <w:r w:rsidR="003D2500" w:rsidRPr="00602C61">
        <w:rPr>
          <w:b/>
          <w:lang w:val="fr-CH"/>
        </w:rPr>
        <w:t>icle</w:t>
      </w:r>
      <w:r w:rsidRPr="00602C61">
        <w:rPr>
          <w:b/>
          <w:lang w:val="fr-CH"/>
        </w:rPr>
        <w:t xml:space="preserve"> 1</w:t>
      </w:r>
    </w:p>
    <w:p w:rsidR="004758E1" w:rsidRPr="00602C61" w:rsidRDefault="00AD1B62" w:rsidP="0096775F">
      <w:pPr>
        <w:rPr>
          <w:szCs w:val="22"/>
          <w:lang w:val="fr-CH"/>
        </w:rPr>
      </w:pPr>
      <w:r w:rsidRPr="00602C61">
        <w:rPr>
          <w:szCs w:val="22"/>
          <w:lang w:val="fr-CH"/>
        </w:rPr>
        <w:t xml:space="preserve">La remarque préliminaire ci-dessus vaut pour la première phrase de l’alinéa 1. </w:t>
      </w:r>
    </w:p>
    <w:p w:rsidR="00E7155E" w:rsidRPr="00602C61" w:rsidRDefault="00766236" w:rsidP="00E7155E">
      <w:pPr>
        <w:rPr>
          <w:szCs w:val="22"/>
          <w:lang w:val="fr-CH"/>
        </w:rPr>
      </w:pPr>
      <w:r>
        <w:rPr>
          <w:szCs w:val="22"/>
          <w:lang w:val="fr-CH"/>
        </w:rPr>
        <w:t>Concernant</w:t>
      </w:r>
      <w:r w:rsidR="00C004F1" w:rsidRPr="00602C61">
        <w:rPr>
          <w:szCs w:val="22"/>
          <w:lang w:val="fr-CH"/>
        </w:rPr>
        <w:t xml:space="preserve"> la deuxième phrase, </w:t>
      </w:r>
      <w:r>
        <w:rPr>
          <w:szCs w:val="22"/>
          <w:lang w:val="fr-CH"/>
        </w:rPr>
        <w:t>il s’agit de tenir compte de ce qui suit</w:t>
      </w:r>
      <w:r w:rsidR="00C004F1" w:rsidRPr="00602C61">
        <w:rPr>
          <w:szCs w:val="22"/>
          <w:lang w:val="fr-CH"/>
        </w:rPr>
        <w:t xml:space="preserve">: </w:t>
      </w:r>
      <w:r>
        <w:rPr>
          <w:szCs w:val="22"/>
          <w:lang w:val="fr-CH"/>
        </w:rPr>
        <w:t>à</w:t>
      </w:r>
      <w:r w:rsidRPr="00602C61">
        <w:rPr>
          <w:szCs w:val="22"/>
          <w:lang w:val="fr-CH"/>
        </w:rPr>
        <w:t xml:space="preserve"> </w:t>
      </w:r>
      <w:r w:rsidR="00C004F1" w:rsidRPr="00602C61">
        <w:rPr>
          <w:szCs w:val="22"/>
          <w:lang w:val="fr-CH"/>
        </w:rPr>
        <w:t>l’article 2, sous le titre marginal</w:t>
      </w:r>
      <w:proofErr w:type="gramStart"/>
      <w:r w:rsidR="00C004F1" w:rsidRPr="00602C61">
        <w:rPr>
          <w:szCs w:val="22"/>
          <w:lang w:val="fr-CH"/>
        </w:rPr>
        <w:t xml:space="preserve"> «Publication</w:t>
      </w:r>
      <w:proofErr w:type="gramEnd"/>
      <w:r w:rsidR="00C004F1" w:rsidRPr="00602C61">
        <w:rPr>
          <w:szCs w:val="22"/>
          <w:lang w:val="fr-CH"/>
        </w:rPr>
        <w:t xml:space="preserve"> sous forme électronique», l’ordonnance sur la protection des données (OPD; RSB 152.040.1) prévoit que si des données personnelles sont publiées au moyen de services d’information et de communication automatisés afin d’informer le public, l’autorité responsable s’assure que la base légale autorise également la communication de données à l’étranger.</w:t>
      </w:r>
    </w:p>
    <w:p w:rsidR="00E7155E" w:rsidRPr="00602C61" w:rsidRDefault="00C004F1" w:rsidP="00E7155E">
      <w:pPr>
        <w:rPr>
          <w:szCs w:val="22"/>
          <w:lang w:val="fr-CH"/>
        </w:rPr>
      </w:pPr>
      <w:r w:rsidRPr="00602C61">
        <w:rPr>
          <w:szCs w:val="22"/>
          <w:lang w:val="fr-CH"/>
        </w:rPr>
        <w:t>Avec la formulation prévue à la deuxième phrase de l’alinéa 1, la présente ordonnance crée la base légale permettant par exemple de publier sur Internet le procès-verbal de l’assemblée ou de la séance publique d’une collectivité de droit communal contenant des données personnelles et, ainsi, de favoriser un accès transfrontière à celles-ci.</w:t>
      </w:r>
    </w:p>
    <w:p w:rsidR="00E7155E" w:rsidRPr="00602C61" w:rsidRDefault="00E7155E" w:rsidP="00E7155E">
      <w:pPr>
        <w:rPr>
          <w:szCs w:val="22"/>
          <w:lang w:val="fr-CH"/>
        </w:rPr>
      </w:pPr>
    </w:p>
    <w:p w:rsidR="00834276" w:rsidRPr="00602C61" w:rsidRDefault="00837861" w:rsidP="00E7155E">
      <w:pPr>
        <w:rPr>
          <w:lang w:val="fr-CH"/>
        </w:rPr>
      </w:pPr>
      <w:r w:rsidRPr="00602C61">
        <w:rPr>
          <w:lang w:val="fr-CH"/>
        </w:rPr>
        <w:t xml:space="preserve">Parmi les informations mentionnées aux alinéas 1 (deuxième phrase) et 2 figurent notamment des procès-verbaux de décisions et de délibérations de séances publiques des organes communaux (et d’autres manifestations publiques) qui contiennent des données personnelles ainsi que d’autres dossiers de la commune (notamment des demandes de permis de construire, des images, des cartes, des </w:t>
      </w:r>
      <w:proofErr w:type="spellStart"/>
      <w:r w:rsidRPr="00602C61">
        <w:rPr>
          <w:lang w:val="fr-CH"/>
        </w:rPr>
        <w:t>géoinformations</w:t>
      </w:r>
      <w:proofErr w:type="spellEnd"/>
      <w:r w:rsidRPr="00602C61">
        <w:rPr>
          <w:lang w:val="fr-CH"/>
        </w:rPr>
        <w:t>, etc.)</w:t>
      </w:r>
      <w:r w:rsidR="003C3451" w:rsidRPr="00602C61">
        <w:rPr>
          <w:lang w:val="fr-CH"/>
        </w:rPr>
        <w:t>.</w:t>
      </w:r>
    </w:p>
    <w:p w:rsidR="00401541" w:rsidRPr="00602C61" w:rsidRDefault="00401541" w:rsidP="00401541">
      <w:pPr>
        <w:rPr>
          <w:lang w:val="fr-CH"/>
        </w:rPr>
      </w:pPr>
    </w:p>
    <w:p w:rsidR="006A0AAE" w:rsidRPr="00602C61" w:rsidRDefault="006A0AAE" w:rsidP="006A0AAE">
      <w:pPr>
        <w:rPr>
          <w:lang w:val="fr-CH"/>
        </w:rPr>
      </w:pPr>
      <w:r w:rsidRPr="00602C61">
        <w:rPr>
          <w:lang w:val="fr-CH"/>
        </w:rPr>
        <w:t>Termes:</w:t>
      </w:r>
      <w:proofErr w:type="gramStart"/>
      <w:r w:rsidRPr="00602C61">
        <w:rPr>
          <w:lang w:val="fr-CH"/>
        </w:rPr>
        <w:t xml:space="preserve"> «Internet</w:t>
      </w:r>
      <w:proofErr w:type="gramEnd"/>
      <w:r w:rsidRPr="00602C61">
        <w:rPr>
          <w:lang w:val="fr-CH"/>
        </w:rPr>
        <w:t>» et «services assimilables à Internet»:</w:t>
      </w:r>
    </w:p>
    <w:p w:rsidR="006F12BD" w:rsidRPr="00602C61" w:rsidRDefault="006A0AAE" w:rsidP="006A0AAE">
      <w:pPr>
        <w:rPr>
          <w:lang w:val="fr-CH"/>
        </w:rPr>
      </w:pPr>
      <w:r w:rsidRPr="00602C61">
        <w:rPr>
          <w:lang w:val="fr-CH"/>
        </w:rPr>
        <w:t>Par</w:t>
      </w:r>
      <w:proofErr w:type="gramStart"/>
      <w:r w:rsidRPr="00602C61">
        <w:rPr>
          <w:lang w:val="fr-CH"/>
        </w:rPr>
        <w:t xml:space="preserve"> «Internet</w:t>
      </w:r>
      <w:proofErr w:type="gramEnd"/>
      <w:r w:rsidRPr="00602C61">
        <w:rPr>
          <w:lang w:val="fr-CH"/>
        </w:rPr>
        <w:t>», il faut également comprendre ce que l’on peut nommer les «services assimilables à Internet». On entend par là les possibilités techniques d’appel de données au moyen d’appareils, tels que l’iPad ou au moyen d’applications ad hoc. Dans les articles suivants, pour faciliter la lecture, seul le terme d</w:t>
      </w:r>
      <w:proofErr w:type="gramStart"/>
      <w:r w:rsidRPr="00602C61">
        <w:rPr>
          <w:lang w:val="fr-CH"/>
        </w:rPr>
        <w:t>’«Internet</w:t>
      </w:r>
      <w:proofErr w:type="gramEnd"/>
      <w:r w:rsidRPr="00602C61">
        <w:rPr>
          <w:lang w:val="fr-CH"/>
        </w:rPr>
        <w:t>» est toutefois employé.</w:t>
      </w:r>
    </w:p>
    <w:p w:rsidR="006A0AAE" w:rsidRPr="00602C61" w:rsidRDefault="006A0AAE" w:rsidP="006A0AAE">
      <w:pPr>
        <w:rPr>
          <w:szCs w:val="22"/>
          <w:lang w:val="fr-CH"/>
        </w:rPr>
      </w:pPr>
    </w:p>
    <w:p w:rsidR="00225055" w:rsidRPr="00602C61" w:rsidRDefault="00225055" w:rsidP="00401541">
      <w:pPr>
        <w:rPr>
          <w:szCs w:val="22"/>
          <w:lang w:val="fr-CH"/>
        </w:rPr>
      </w:pPr>
    </w:p>
    <w:p w:rsidR="00225055" w:rsidRPr="00602C61" w:rsidRDefault="00B771AF" w:rsidP="00225055">
      <w:pPr>
        <w:spacing w:before="120" w:after="120" w:line="280" w:lineRule="exact"/>
        <w:rPr>
          <w:b/>
          <w:lang w:val="fr-CH"/>
        </w:rPr>
      </w:pPr>
      <w:r w:rsidRPr="00602C61">
        <w:rPr>
          <w:b/>
          <w:lang w:val="fr-CH"/>
        </w:rPr>
        <w:t>Art</w:t>
      </w:r>
      <w:r w:rsidR="006A0AAE" w:rsidRPr="00602C61">
        <w:rPr>
          <w:b/>
          <w:lang w:val="fr-CH"/>
        </w:rPr>
        <w:t>icle</w:t>
      </w:r>
      <w:r w:rsidRPr="00602C61">
        <w:rPr>
          <w:b/>
          <w:lang w:val="fr-CH"/>
        </w:rPr>
        <w:t xml:space="preserve"> 2 </w:t>
      </w:r>
    </w:p>
    <w:p w:rsidR="00B771AF" w:rsidRPr="00602C61" w:rsidRDefault="00AD247D" w:rsidP="00225055">
      <w:pPr>
        <w:spacing w:before="120" w:after="120" w:line="280" w:lineRule="exact"/>
        <w:rPr>
          <w:b/>
          <w:lang w:val="fr-CH"/>
        </w:rPr>
      </w:pPr>
      <w:r w:rsidRPr="00602C61">
        <w:rPr>
          <w:lang w:val="fr-CH"/>
        </w:rPr>
        <w:t xml:space="preserve">L’article 8 de la loi sur la protection des données (LCPD) indique à quelle autorité incombe la </w:t>
      </w:r>
      <w:r w:rsidRPr="00602C61">
        <w:rPr>
          <w:i/>
          <w:lang w:val="fr-CH"/>
        </w:rPr>
        <w:t>responsabilité</w:t>
      </w:r>
      <w:r w:rsidRPr="00602C61">
        <w:rPr>
          <w:lang w:val="fr-CH"/>
        </w:rPr>
        <w:t xml:space="preserve"> de la protection des données. </w:t>
      </w:r>
      <w:r w:rsidR="006D4421" w:rsidRPr="00602C61">
        <w:rPr>
          <w:lang w:val="fr-CH"/>
        </w:rPr>
        <w:t xml:space="preserve">L’alinéa 2 </w:t>
      </w:r>
      <w:r w:rsidR="001E7525" w:rsidRPr="00602C61">
        <w:rPr>
          <w:lang w:val="fr-CH"/>
        </w:rPr>
        <w:t>de cet</w:t>
      </w:r>
      <w:r w:rsidR="006D4421" w:rsidRPr="00602C61">
        <w:rPr>
          <w:lang w:val="fr-CH"/>
        </w:rPr>
        <w:t xml:space="preserve"> article </w:t>
      </w:r>
      <w:r w:rsidR="00AB1A5E">
        <w:rPr>
          <w:lang w:val="fr-CH"/>
        </w:rPr>
        <w:t>précise</w:t>
      </w:r>
      <w:r w:rsidR="006D4421" w:rsidRPr="00602C61">
        <w:rPr>
          <w:lang w:val="fr-CH"/>
        </w:rPr>
        <w:t xml:space="preserve"> la question pour les cas où plusieurs autorités traitent des données personnelles.</w:t>
      </w:r>
      <w:r w:rsidR="001E7525" w:rsidRPr="00602C61">
        <w:rPr>
          <w:lang w:val="fr-CH"/>
        </w:rPr>
        <w:t xml:space="preserve"> Selon le droit européen, l’autorité responsable doit être en mesure de </w:t>
      </w:r>
      <w:r w:rsidR="001E7525" w:rsidRPr="00602C61">
        <w:rPr>
          <w:i/>
          <w:lang w:val="fr-CH"/>
        </w:rPr>
        <w:t>démontrer</w:t>
      </w:r>
      <w:r w:rsidR="001E7525" w:rsidRPr="00602C61">
        <w:rPr>
          <w:lang w:val="fr-CH"/>
        </w:rPr>
        <w:t xml:space="preserve"> qu’elle applique correctement les dispositions sur la protection des données; il en va de même pour les mandataires. </w:t>
      </w:r>
      <w:r w:rsidR="00C9556B" w:rsidRPr="00602C61">
        <w:rPr>
          <w:lang w:val="fr-CH"/>
        </w:rPr>
        <w:t xml:space="preserve">L’article 8 LCPD ne prévoit aucune prescription allant en ce sens. </w:t>
      </w:r>
    </w:p>
    <w:p w:rsidR="00B771AF" w:rsidRPr="00602C61" w:rsidRDefault="004C5D89" w:rsidP="00AB1A5E">
      <w:pPr>
        <w:overflowPunct/>
        <w:textAlignment w:val="auto"/>
        <w:rPr>
          <w:lang w:val="fr-CH"/>
        </w:rPr>
      </w:pPr>
      <w:r w:rsidRPr="00602C61">
        <w:rPr>
          <w:lang w:val="fr-CH"/>
        </w:rPr>
        <w:t>Dans le but de compléter l’article 8 LCPD, l’ordonnance-type contient une disposition de principe requérant la preuve du respect des dispositions sur la protection des données.</w:t>
      </w:r>
      <w:r w:rsidR="00AB1A5E">
        <w:rPr>
          <w:lang w:val="fr-CH"/>
        </w:rPr>
        <w:t xml:space="preserve"> </w:t>
      </w:r>
      <w:r w:rsidR="001E4FBF" w:rsidRPr="00602C61">
        <w:rPr>
          <w:lang w:val="fr-CH"/>
        </w:rPr>
        <w:t xml:space="preserve">En toute logique, les exigences en matière de preuve seront d’autant plus grandes que </w:t>
      </w:r>
      <w:r w:rsidR="00AB1A5E">
        <w:rPr>
          <w:lang w:val="fr-CH"/>
        </w:rPr>
        <w:t xml:space="preserve">le champ d’application et </w:t>
      </w:r>
      <w:r w:rsidR="001E4FBF" w:rsidRPr="00602C61">
        <w:rPr>
          <w:lang w:val="fr-CH"/>
        </w:rPr>
        <w:t>les effets seront importants</w:t>
      </w:r>
      <w:r w:rsidR="00B771AF" w:rsidRPr="00602C61">
        <w:rPr>
          <w:lang w:val="fr-CH"/>
        </w:rPr>
        <w:t xml:space="preserve">. </w:t>
      </w:r>
      <w:r w:rsidR="00F63E05" w:rsidRPr="00602C61">
        <w:rPr>
          <w:lang w:val="fr-CH"/>
        </w:rPr>
        <w:t>Comme moyens de preuve, les systèmes de gestion de la protection des données et les examens des aspects relatifs à la protection des données (audits) entrent en ligne de compte</w:t>
      </w:r>
      <w:r w:rsidR="00B771AF" w:rsidRPr="00602C61">
        <w:rPr>
          <w:lang w:val="fr-CH"/>
        </w:rPr>
        <w:t xml:space="preserve">. </w:t>
      </w:r>
      <w:r w:rsidR="002F6296" w:rsidRPr="00602C61">
        <w:rPr>
          <w:lang w:val="fr-CH"/>
        </w:rPr>
        <w:t xml:space="preserve">Un simple rapport sur la mise en œuvre des mesures peut aussi être envisagé. </w:t>
      </w:r>
      <w:r w:rsidR="00754C69" w:rsidRPr="00602C61">
        <w:rPr>
          <w:lang w:val="fr-CH"/>
        </w:rPr>
        <w:lastRenderedPageBreak/>
        <w:t xml:space="preserve">Les exigences ne sont pas </w:t>
      </w:r>
      <w:r w:rsidR="00AB1A5E">
        <w:rPr>
          <w:lang w:val="fr-CH"/>
        </w:rPr>
        <w:t>identiques pour tous les</w:t>
      </w:r>
      <w:r w:rsidR="00754C69" w:rsidRPr="00602C61">
        <w:rPr>
          <w:lang w:val="fr-CH"/>
        </w:rPr>
        <w:t xml:space="preserve"> type</w:t>
      </w:r>
      <w:r w:rsidR="00AB1A5E">
        <w:rPr>
          <w:lang w:val="fr-CH"/>
        </w:rPr>
        <w:t>s</w:t>
      </w:r>
      <w:r w:rsidR="00754C69" w:rsidRPr="00602C61">
        <w:rPr>
          <w:lang w:val="fr-CH"/>
        </w:rPr>
        <w:t xml:space="preserve"> de traitement des données, elles doivent être adaptées aux circonstances. </w:t>
      </w:r>
      <w:r w:rsidR="008F4D08" w:rsidRPr="00602C61">
        <w:rPr>
          <w:lang w:val="fr-CH"/>
        </w:rPr>
        <w:t xml:space="preserve">Le contrôle préalable effectué par le Bureau pour la surveillance de la protection des données (art. 17 LCPD) ne constitue pas une preuve suffisante. </w:t>
      </w:r>
      <w:r w:rsidR="00170979" w:rsidRPr="00602C61">
        <w:rPr>
          <w:lang w:val="fr-CH"/>
        </w:rPr>
        <w:t xml:space="preserve">Il entre plutôt en jeu </w:t>
      </w:r>
      <w:r w:rsidR="00170979" w:rsidRPr="00602C61">
        <w:rPr>
          <w:i/>
          <w:lang w:val="fr-CH"/>
        </w:rPr>
        <w:t>avant</w:t>
      </w:r>
      <w:r w:rsidR="00170979" w:rsidRPr="00602C61">
        <w:rPr>
          <w:lang w:val="fr-CH"/>
        </w:rPr>
        <w:t xml:space="preserve"> que les données so</w:t>
      </w:r>
      <w:r w:rsidR="00AB1A5E">
        <w:rPr>
          <w:lang w:val="fr-CH"/>
        </w:rPr>
        <w:t>ie</w:t>
      </w:r>
      <w:r w:rsidR="00170979" w:rsidRPr="00602C61">
        <w:rPr>
          <w:lang w:val="fr-CH"/>
        </w:rPr>
        <w:t xml:space="preserve">nt traitées </w:t>
      </w:r>
      <w:r w:rsidR="00B771AF" w:rsidRPr="00602C61">
        <w:rPr>
          <w:lang w:val="fr-CH"/>
        </w:rPr>
        <w:t>(</w:t>
      </w:r>
      <w:r w:rsidR="00170979" w:rsidRPr="00602C61">
        <w:rPr>
          <w:lang w:val="fr-CH"/>
        </w:rPr>
        <w:t>constatation de l’état final théorique)</w:t>
      </w:r>
      <w:r w:rsidR="009E55B1" w:rsidRPr="00602C61">
        <w:rPr>
          <w:lang w:val="fr-CH"/>
        </w:rPr>
        <w:t xml:space="preserve">; il </w:t>
      </w:r>
      <w:r w:rsidR="00AB1A5E">
        <w:rPr>
          <w:lang w:val="fr-CH"/>
        </w:rPr>
        <w:t>fait</w:t>
      </w:r>
      <w:r w:rsidR="009E55B1" w:rsidRPr="00602C61">
        <w:rPr>
          <w:lang w:val="fr-CH"/>
        </w:rPr>
        <w:t xml:space="preserve"> donc </w:t>
      </w:r>
      <w:r w:rsidR="00AB1A5E">
        <w:rPr>
          <w:lang w:val="fr-CH"/>
        </w:rPr>
        <w:t>office de</w:t>
      </w:r>
      <w:r w:rsidR="009E55B1" w:rsidRPr="00602C61">
        <w:rPr>
          <w:lang w:val="fr-CH"/>
        </w:rPr>
        <w:t xml:space="preserve"> condition préalable. </w:t>
      </w:r>
      <w:r w:rsidR="00AB1A5E">
        <w:rPr>
          <w:lang w:val="fr-CH"/>
        </w:rPr>
        <w:t>Or, c</w:t>
      </w:r>
      <w:r w:rsidR="00070366" w:rsidRPr="00602C61">
        <w:rPr>
          <w:lang w:val="fr-CH"/>
        </w:rPr>
        <w:t>’est justement le respect des prescriptions SIPD qu’il faut prouver</w:t>
      </w:r>
      <w:r w:rsidR="00AB1A5E">
        <w:rPr>
          <w:lang w:val="fr-CH"/>
        </w:rPr>
        <w:t>:</w:t>
      </w:r>
      <w:r w:rsidR="00070366" w:rsidRPr="00602C61">
        <w:rPr>
          <w:lang w:val="fr-CH"/>
        </w:rPr>
        <w:t xml:space="preserve"> </w:t>
      </w:r>
      <w:r w:rsidR="00AB1A5E">
        <w:rPr>
          <w:lang w:val="fr-CH"/>
        </w:rPr>
        <w:t>i</w:t>
      </w:r>
      <w:r w:rsidR="000A6B65" w:rsidRPr="00602C61">
        <w:rPr>
          <w:lang w:val="fr-CH"/>
        </w:rPr>
        <w:t>l s’agit d’apporter une preuve concernant l’état actuel</w:t>
      </w:r>
      <w:r w:rsidR="00AB1A5E">
        <w:rPr>
          <w:lang w:val="fr-CH"/>
        </w:rPr>
        <w:t xml:space="preserve"> effectif</w:t>
      </w:r>
      <w:r w:rsidR="000A6B65" w:rsidRPr="00602C61">
        <w:rPr>
          <w:lang w:val="fr-CH"/>
        </w:rPr>
        <w:t xml:space="preserve"> du traitement des données. </w:t>
      </w:r>
    </w:p>
    <w:p w:rsidR="00B771AF" w:rsidRPr="00602C61" w:rsidRDefault="00B771AF">
      <w:pPr>
        <w:rPr>
          <w:b/>
          <w:szCs w:val="22"/>
          <w:lang w:val="fr-CH"/>
        </w:rPr>
      </w:pPr>
    </w:p>
    <w:p w:rsidR="00F1581D" w:rsidRPr="00602C61" w:rsidRDefault="00F1581D" w:rsidP="00F1581D">
      <w:pPr>
        <w:keepNext/>
        <w:spacing w:before="120" w:after="120" w:line="280" w:lineRule="exact"/>
        <w:rPr>
          <w:b/>
          <w:lang w:val="fr-CH"/>
        </w:rPr>
      </w:pPr>
      <w:r w:rsidRPr="00602C61">
        <w:rPr>
          <w:b/>
          <w:lang w:val="fr-CH"/>
        </w:rPr>
        <w:t>Art</w:t>
      </w:r>
      <w:r w:rsidR="000A6B65" w:rsidRPr="00602C61">
        <w:rPr>
          <w:b/>
          <w:lang w:val="fr-CH"/>
        </w:rPr>
        <w:t>icle</w:t>
      </w:r>
      <w:r w:rsidRPr="00602C61">
        <w:rPr>
          <w:b/>
          <w:lang w:val="fr-CH"/>
        </w:rPr>
        <w:t xml:space="preserve"> 3 </w:t>
      </w:r>
    </w:p>
    <w:p w:rsidR="00F1581D" w:rsidRPr="00602C61" w:rsidRDefault="000A6B65" w:rsidP="00F1581D">
      <w:pPr>
        <w:keepNext/>
        <w:spacing w:before="120" w:line="280" w:lineRule="exact"/>
        <w:rPr>
          <w:rFonts w:eastAsia="Calibri"/>
          <w:lang w:val="fr-CH"/>
        </w:rPr>
      </w:pPr>
      <w:r w:rsidRPr="00602C61">
        <w:rPr>
          <w:lang w:val="fr-CH"/>
        </w:rPr>
        <w:t xml:space="preserve">Lorsqu’une autorité collecte des données personnelles, elle est tenue de fournir </w:t>
      </w:r>
      <w:r w:rsidR="00AB1A5E">
        <w:rPr>
          <w:lang w:val="fr-CH"/>
        </w:rPr>
        <w:t>aux</w:t>
      </w:r>
      <w:r w:rsidR="00AB1A5E" w:rsidRPr="00602C61">
        <w:rPr>
          <w:lang w:val="fr-CH"/>
        </w:rPr>
        <w:t xml:space="preserve"> personne</w:t>
      </w:r>
      <w:r w:rsidR="00AB1A5E">
        <w:rPr>
          <w:lang w:val="fr-CH"/>
        </w:rPr>
        <w:t>s</w:t>
      </w:r>
      <w:r w:rsidR="00AB1A5E" w:rsidRPr="00602C61">
        <w:rPr>
          <w:lang w:val="fr-CH"/>
        </w:rPr>
        <w:t xml:space="preserve"> concernée</w:t>
      </w:r>
      <w:r w:rsidR="00AB1A5E">
        <w:rPr>
          <w:lang w:val="fr-CH"/>
        </w:rPr>
        <w:t>s</w:t>
      </w:r>
      <w:r w:rsidR="00AB1A5E" w:rsidRPr="00602C61">
        <w:rPr>
          <w:lang w:val="fr-CH"/>
        </w:rPr>
        <w:t xml:space="preserve"> </w:t>
      </w:r>
      <w:r w:rsidRPr="00602C61">
        <w:rPr>
          <w:lang w:val="fr-CH"/>
        </w:rPr>
        <w:t>certaines informations relatives au traitement de</w:t>
      </w:r>
      <w:r w:rsidR="00766236">
        <w:rPr>
          <w:lang w:val="fr-CH"/>
        </w:rPr>
        <w:t xml:space="preserve"> ce</w:t>
      </w:r>
      <w:r w:rsidRPr="00602C61">
        <w:rPr>
          <w:lang w:val="fr-CH"/>
        </w:rPr>
        <w:t xml:space="preserve">s données. </w:t>
      </w:r>
      <w:r w:rsidR="006F303A" w:rsidRPr="00602C61">
        <w:rPr>
          <w:lang w:val="fr-CH"/>
        </w:rPr>
        <w:t xml:space="preserve">Selon l’article 9, alinéa 4 LCPD, la </w:t>
      </w:r>
      <w:r w:rsidR="006F303A" w:rsidRPr="00602C61">
        <w:rPr>
          <w:i/>
          <w:lang w:val="fr-CH"/>
        </w:rPr>
        <w:t>base légale</w:t>
      </w:r>
      <w:r w:rsidR="006F303A" w:rsidRPr="00602C61">
        <w:rPr>
          <w:lang w:val="fr-CH"/>
        </w:rPr>
        <w:t xml:space="preserve"> et le </w:t>
      </w:r>
      <w:r w:rsidR="006F303A" w:rsidRPr="00602C61">
        <w:rPr>
          <w:i/>
          <w:lang w:val="fr-CH"/>
        </w:rPr>
        <w:t>but du traitement</w:t>
      </w:r>
      <w:r w:rsidR="006F303A" w:rsidRPr="00602C61">
        <w:rPr>
          <w:lang w:val="fr-CH"/>
        </w:rPr>
        <w:t xml:space="preserve"> ne doivent être communiqués aux personnes interrogées que lorsque des données personnelles sont recueillies </w:t>
      </w:r>
      <w:r w:rsidR="006F303A" w:rsidRPr="00602C61">
        <w:rPr>
          <w:i/>
          <w:lang w:val="fr-CH"/>
        </w:rPr>
        <w:t>systématiquement</w:t>
      </w:r>
      <w:r w:rsidR="006F303A" w:rsidRPr="00602C61">
        <w:rPr>
          <w:lang w:val="fr-CH"/>
        </w:rPr>
        <w:t xml:space="preserve">, notamment au moyen de </w:t>
      </w:r>
      <w:r w:rsidR="006F303A" w:rsidRPr="00602C61">
        <w:rPr>
          <w:i/>
          <w:lang w:val="fr-CH"/>
        </w:rPr>
        <w:t>questionnaires</w:t>
      </w:r>
      <w:r w:rsidR="006F303A" w:rsidRPr="00602C61">
        <w:rPr>
          <w:lang w:val="fr-CH"/>
        </w:rPr>
        <w:t xml:space="preserve">. </w:t>
      </w:r>
      <w:r w:rsidR="00A23301" w:rsidRPr="00602C61">
        <w:rPr>
          <w:lang w:val="fr-CH"/>
        </w:rPr>
        <w:t>L’article 13 de la directive européenne énumère en détail les informations à fournir à la personne concernée (</w:t>
      </w:r>
      <w:r w:rsidR="00F60501" w:rsidRPr="00602C61">
        <w:rPr>
          <w:lang w:val="fr-CH"/>
        </w:rPr>
        <w:t>al</w:t>
      </w:r>
      <w:r w:rsidR="00F60501">
        <w:rPr>
          <w:lang w:val="fr-CH"/>
        </w:rPr>
        <w:t>.</w:t>
      </w:r>
      <w:r w:rsidR="00F60501" w:rsidRPr="00602C61">
        <w:rPr>
          <w:lang w:val="fr-CH"/>
        </w:rPr>
        <w:t xml:space="preserve"> </w:t>
      </w:r>
      <w:r w:rsidR="00A23301" w:rsidRPr="00602C61">
        <w:rPr>
          <w:lang w:val="fr-CH"/>
        </w:rPr>
        <w:t>1 et 2)</w:t>
      </w:r>
      <w:r w:rsidR="00AB1A5E">
        <w:rPr>
          <w:lang w:val="fr-CH"/>
        </w:rPr>
        <w:t>,</w:t>
      </w:r>
      <w:r w:rsidR="00A23301" w:rsidRPr="00602C61">
        <w:rPr>
          <w:lang w:val="fr-CH"/>
        </w:rPr>
        <w:t xml:space="preserve"> </w:t>
      </w:r>
      <w:r w:rsidR="00A20C82" w:rsidRPr="00602C61">
        <w:rPr>
          <w:rFonts w:eastAsia="Calibri"/>
          <w:lang w:val="fr-CH"/>
        </w:rPr>
        <w:t>de même</w:t>
      </w:r>
      <w:r w:rsidR="00A23301" w:rsidRPr="00602C61">
        <w:rPr>
          <w:rFonts w:eastAsia="Calibri"/>
          <w:lang w:val="fr-CH"/>
        </w:rPr>
        <w:t xml:space="preserve"> que les circonstances aboutissant à une dérogation au devoir d’informer (</w:t>
      </w:r>
      <w:r w:rsidR="00F60501" w:rsidRPr="00602C61">
        <w:rPr>
          <w:rFonts w:eastAsia="Calibri"/>
          <w:lang w:val="fr-CH"/>
        </w:rPr>
        <w:t>al</w:t>
      </w:r>
      <w:r w:rsidR="00F60501">
        <w:rPr>
          <w:rFonts w:eastAsia="Calibri"/>
          <w:lang w:val="fr-CH"/>
        </w:rPr>
        <w:t>.</w:t>
      </w:r>
      <w:r w:rsidR="00F60501" w:rsidRPr="00602C61">
        <w:rPr>
          <w:rFonts w:eastAsia="Calibri"/>
          <w:lang w:val="fr-CH"/>
        </w:rPr>
        <w:t xml:space="preserve"> </w:t>
      </w:r>
      <w:r w:rsidR="00A23301" w:rsidRPr="00602C61">
        <w:rPr>
          <w:rFonts w:eastAsia="Calibri"/>
          <w:lang w:val="fr-CH"/>
        </w:rPr>
        <w:t xml:space="preserve">3 et 4). </w:t>
      </w:r>
      <w:r w:rsidR="00A20C82" w:rsidRPr="00602C61">
        <w:rPr>
          <w:rFonts w:eastAsia="Calibri"/>
          <w:lang w:val="fr-CH"/>
        </w:rPr>
        <w:t xml:space="preserve">La condition de la récolte systématique au moyen de questionnaires, prévue à l’article 9, alinéa 4 LCPD, </w:t>
      </w:r>
      <w:r w:rsidR="00AB1A5E">
        <w:rPr>
          <w:rFonts w:eastAsia="Calibri"/>
          <w:lang w:val="fr-CH"/>
        </w:rPr>
        <w:t>devient</w:t>
      </w:r>
      <w:r w:rsidR="00A20C82" w:rsidRPr="00602C61">
        <w:rPr>
          <w:rFonts w:eastAsia="Calibri"/>
          <w:lang w:val="fr-CH"/>
        </w:rPr>
        <w:t xml:space="preserve"> ainsi trop restrictive et le catalo</w:t>
      </w:r>
      <w:r w:rsidR="00692FFE" w:rsidRPr="00602C61">
        <w:rPr>
          <w:rFonts w:eastAsia="Calibri"/>
          <w:lang w:val="fr-CH"/>
        </w:rPr>
        <w:t>g</w:t>
      </w:r>
      <w:r w:rsidR="00A20C82" w:rsidRPr="00602C61">
        <w:rPr>
          <w:rFonts w:eastAsia="Calibri"/>
          <w:lang w:val="fr-CH"/>
        </w:rPr>
        <w:t>ue des informations à fournir</w:t>
      </w:r>
      <w:r w:rsidR="00692FFE" w:rsidRPr="00602C61">
        <w:rPr>
          <w:rFonts w:eastAsia="Calibri"/>
          <w:lang w:val="fr-CH"/>
        </w:rPr>
        <w:t>,</w:t>
      </w:r>
      <w:r w:rsidR="00A20C82" w:rsidRPr="00602C61">
        <w:rPr>
          <w:rFonts w:eastAsia="Calibri"/>
          <w:lang w:val="fr-CH"/>
        </w:rPr>
        <w:t xml:space="preserve"> incomplet. </w:t>
      </w:r>
      <w:r w:rsidR="00AB1A5E">
        <w:rPr>
          <w:rFonts w:eastAsia="Calibri"/>
          <w:lang w:val="fr-CH"/>
        </w:rPr>
        <w:t>V</w:t>
      </w:r>
      <w:r w:rsidR="00AB1A5E" w:rsidRPr="00602C61">
        <w:rPr>
          <w:rFonts w:eastAsia="Calibri"/>
          <w:lang w:val="fr-CH"/>
        </w:rPr>
        <w:t xml:space="preserve">u la directive européenne et le </w:t>
      </w:r>
      <w:r w:rsidR="00D750F8">
        <w:rPr>
          <w:rFonts w:eastAsia="Calibri"/>
          <w:lang w:val="fr-CH"/>
        </w:rPr>
        <w:t>guide pratique</w:t>
      </w:r>
      <w:r w:rsidR="00D750F8" w:rsidRPr="00602C61">
        <w:rPr>
          <w:rFonts w:eastAsia="Calibri"/>
          <w:lang w:val="fr-CH"/>
        </w:rPr>
        <w:t xml:space="preserve"> </w:t>
      </w:r>
      <w:r w:rsidR="00AB1A5E" w:rsidRPr="00602C61">
        <w:rPr>
          <w:rFonts w:eastAsia="Calibri"/>
          <w:lang w:val="fr-CH"/>
        </w:rPr>
        <w:t>de la CdC</w:t>
      </w:r>
      <w:r w:rsidR="00AB1A5E">
        <w:rPr>
          <w:rFonts w:eastAsia="Calibri"/>
          <w:lang w:val="fr-CH"/>
        </w:rPr>
        <w:t>,</w:t>
      </w:r>
      <w:r w:rsidR="00AB1A5E" w:rsidRPr="00602C61">
        <w:rPr>
          <w:rFonts w:eastAsia="Calibri"/>
          <w:lang w:val="fr-CH"/>
        </w:rPr>
        <w:t xml:space="preserve"> </w:t>
      </w:r>
      <w:r w:rsidR="00AB1A5E">
        <w:rPr>
          <w:rFonts w:eastAsia="Calibri"/>
          <w:lang w:val="fr-CH"/>
        </w:rPr>
        <w:t>l</w:t>
      </w:r>
      <w:r w:rsidR="00692FFE" w:rsidRPr="00602C61">
        <w:rPr>
          <w:rFonts w:eastAsia="Calibri"/>
          <w:lang w:val="fr-CH"/>
        </w:rPr>
        <w:t xml:space="preserve">’ordonnance doit donc </w:t>
      </w:r>
    </w:p>
    <w:p w:rsidR="00F1581D" w:rsidRPr="00602C61" w:rsidRDefault="00F1581D" w:rsidP="00F1581D">
      <w:pPr>
        <w:spacing w:line="280" w:lineRule="exact"/>
        <w:ind w:left="284" w:hanging="284"/>
        <w:rPr>
          <w:lang w:val="fr-CH"/>
        </w:rPr>
      </w:pPr>
      <w:r w:rsidRPr="00602C61">
        <w:rPr>
          <w:rFonts w:eastAsia="Calibri"/>
          <w:lang w:val="fr-CH"/>
        </w:rPr>
        <w:t>-</w:t>
      </w:r>
      <w:r w:rsidRPr="00602C61">
        <w:rPr>
          <w:rFonts w:eastAsia="Calibri"/>
          <w:lang w:val="fr-CH"/>
        </w:rPr>
        <w:tab/>
      </w:r>
      <w:r w:rsidR="00B830EB" w:rsidRPr="00602C61">
        <w:rPr>
          <w:rFonts w:eastAsia="Calibri"/>
          <w:lang w:val="fr-CH"/>
        </w:rPr>
        <w:t xml:space="preserve">constater que le devoir d’information s’applique à tous les types de traitement de données personnelles, </w:t>
      </w:r>
    </w:p>
    <w:p w:rsidR="00F1581D" w:rsidRPr="00602C61" w:rsidRDefault="00F1581D" w:rsidP="00F1581D">
      <w:pPr>
        <w:spacing w:line="280" w:lineRule="exact"/>
        <w:ind w:left="284" w:hanging="284"/>
        <w:rPr>
          <w:rFonts w:eastAsia="Calibri"/>
          <w:lang w:val="fr-CH"/>
        </w:rPr>
      </w:pPr>
      <w:r w:rsidRPr="00602C61">
        <w:rPr>
          <w:lang w:val="fr-CH"/>
        </w:rPr>
        <w:t>-</w:t>
      </w:r>
      <w:r w:rsidRPr="00602C61">
        <w:rPr>
          <w:lang w:val="fr-CH"/>
        </w:rPr>
        <w:tab/>
      </w:r>
      <w:r w:rsidR="00857A5D" w:rsidRPr="00602C61">
        <w:rPr>
          <w:lang w:val="fr-CH"/>
        </w:rPr>
        <w:t xml:space="preserve">allonger la liste des informations à fournir, </w:t>
      </w:r>
    </w:p>
    <w:p w:rsidR="00F1581D" w:rsidRPr="00602C61" w:rsidRDefault="00F1581D" w:rsidP="00F1581D">
      <w:pPr>
        <w:spacing w:line="280" w:lineRule="exact"/>
        <w:ind w:left="284" w:hanging="284"/>
        <w:rPr>
          <w:rFonts w:eastAsia="Calibri"/>
          <w:lang w:val="fr-CH"/>
        </w:rPr>
      </w:pPr>
      <w:r w:rsidRPr="00602C61">
        <w:rPr>
          <w:rFonts w:eastAsia="Calibri"/>
          <w:lang w:val="fr-CH"/>
        </w:rPr>
        <w:t>-</w:t>
      </w:r>
      <w:r w:rsidRPr="00602C61">
        <w:rPr>
          <w:rFonts w:eastAsia="Calibri"/>
          <w:lang w:val="fr-CH"/>
        </w:rPr>
        <w:tab/>
      </w:r>
      <w:r w:rsidR="00857A5D" w:rsidRPr="00602C61">
        <w:rPr>
          <w:rFonts w:eastAsia="Calibri"/>
          <w:lang w:val="fr-CH"/>
        </w:rPr>
        <w:t>définir les modalités du devoir d’information et</w:t>
      </w:r>
    </w:p>
    <w:p w:rsidR="00F1581D" w:rsidRPr="00602C61" w:rsidRDefault="00F1581D" w:rsidP="00F1581D">
      <w:pPr>
        <w:spacing w:line="280" w:lineRule="exact"/>
        <w:ind w:left="284" w:hanging="284"/>
        <w:rPr>
          <w:rFonts w:eastAsia="Calibri"/>
          <w:lang w:val="fr-CH"/>
        </w:rPr>
      </w:pPr>
      <w:r w:rsidRPr="00602C61">
        <w:rPr>
          <w:rFonts w:eastAsia="Calibri"/>
          <w:lang w:val="fr-CH"/>
        </w:rPr>
        <w:t>-</w:t>
      </w:r>
      <w:r w:rsidRPr="00602C61">
        <w:rPr>
          <w:rFonts w:eastAsia="Calibri"/>
          <w:lang w:val="fr-CH"/>
        </w:rPr>
        <w:tab/>
      </w:r>
      <w:r w:rsidR="004B2422" w:rsidRPr="00602C61">
        <w:rPr>
          <w:rFonts w:eastAsia="Calibri"/>
          <w:lang w:val="fr-CH"/>
        </w:rPr>
        <w:t xml:space="preserve">fixer les exceptions </w:t>
      </w:r>
      <w:r w:rsidRPr="00602C61">
        <w:rPr>
          <w:rFonts w:eastAsia="Calibri"/>
          <w:lang w:val="fr-CH"/>
        </w:rPr>
        <w:t>(</w:t>
      </w:r>
      <w:r w:rsidR="004B2422" w:rsidRPr="00602C61">
        <w:rPr>
          <w:rFonts w:eastAsia="Calibri"/>
          <w:lang w:val="fr-CH"/>
        </w:rPr>
        <w:t>a</w:t>
      </w:r>
      <w:r w:rsidRPr="00602C61">
        <w:rPr>
          <w:rFonts w:eastAsia="Calibri"/>
          <w:lang w:val="fr-CH"/>
        </w:rPr>
        <w:t>rt. 5).</w:t>
      </w:r>
    </w:p>
    <w:p w:rsidR="00F1581D" w:rsidRPr="00602C61" w:rsidRDefault="00E537F0" w:rsidP="00F1581D">
      <w:pPr>
        <w:spacing w:before="120" w:line="280" w:lineRule="exact"/>
        <w:rPr>
          <w:lang w:val="fr-CH"/>
        </w:rPr>
      </w:pPr>
      <w:r w:rsidRPr="00602C61">
        <w:rPr>
          <w:rFonts w:eastAsia="Calibri"/>
          <w:lang w:val="fr-CH"/>
        </w:rPr>
        <w:t xml:space="preserve">Les dispositions de l’ordonnance relatives au devoir d’information vont </w:t>
      </w:r>
      <w:r w:rsidRPr="00602C61">
        <w:rPr>
          <w:rFonts w:eastAsia="Calibri"/>
          <w:i/>
          <w:lang w:val="fr-CH"/>
        </w:rPr>
        <w:t>plus loin</w:t>
      </w:r>
      <w:r w:rsidRPr="00602C61">
        <w:rPr>
          <w:rFonts w:eastAsia="Calibri"/>
          <w:lang w:val="fr-CH"/>
        </w:rPr>
        <w:t xml:space="preserve"> que ce qui est prévu à l’article 9, alinéa 4 LCPD. </w:t>
      </w:r>
      <w:r w:rsidR="00FF53BB" w:rsidRPr="00602C61">
        <w:rPr>
          <w:rFonts w:eastAsia="Calibri"/>
          <w:lang w:val="fr-CH"/>
        </w:rPr>
        <w:t>Il faut garder à l’esprit que</w:t>
      </w:r>
      <w:r w:rsidR="007C157E">
        <w:rPr>
          <w:rFonts w:eastAsia="Calibri"/>
          <w:lang w:val="fr-CH"/>
        </w:rPr>
        <w:t>,</w:t>
      </w:r>
      <w:r w:rsidR="00FF53BB" w:rsidRPr="00602C61">
        <w:rPr>
          <w:rFonts w:eastAsia="Calibri"/>
          <w:lang w:val="fr-CH"/>
        </w:rPr>
        <w:t xml:space="preserve"> </w:t>
      </w:r>
      <w:r w:rsidR="007C157E" w:rsidRPr="00602C61">
        <w:rPr>
          <w:rFonts w:eastAsia="Calibri"/>
          <w:lang w:val="fr-CH"/>
        </w:rPr>
        <w:t>dès lors</w:t>
      </w:r>
      <w:r w:rsidR="007C157E">
        <w:rPr>
          <w:rFonts w:eastAsia="Calibri"/>
          <w:lang w:val="fr-CH"/>
        </w:rPr>
        <w:t>,</w:t>
      </w:r>
      <w:r w:rsidR="007C157E" w:rsidRPr="00602C61">
        <w:rPr>
          <w:rFonts w:eastAsia="Calibri"/>
          <w:lang w:val="fr-CH"/>
        </w:rPr>
        <w:t xml:space="preserve"> </w:t>
      </w:r>
      <w:r w:rsidR="00FF53BB" w:rsidRPr="00602C61">
        <w:rPr>
          <w:rFonts w:eastAsia="Calibri"/>
          <w:lang w:val="fr-CH"/>
        </w:rPr>
        <w:t xml:space="preserve">l’autorité doit </w:t>
      </w:r>
      <w:r w:rsidR="00FF53BB" w:rsidRPr="00964337">
        <w:rPr>
          <w:rFonts w:eastAsia="Calibri"/>
          <w:i/>
          <w:lang w:val="fr-CH"/>
        </w:rPr>
        <w:t>tout le temps</w:t>
      </w:r>
      <w:r w:rsidR="00FF53BB" w:rsidRPr="00602C61">
        <w:rPr>
          <w:rFonts w:eastAsia="Calibri"/>
          <w:lang w:val="fr-CH"/>
        </w:rPr>
        <w:t xml:space="preserve"> mettre </w:t>
      </w:r>
      <w:r w:rsidR="00FF53BB" w:rsidRPr="00964337">
        <w:rPr>
          <w:rFonts w:eastAsia="Calibri"/>
          <w:i/>
          <w:lang w:val="fr-CH"/>
        </w:rPr>
        <w:t>spontanément</w:t>
      </w:r>
      <w:r w:rsidR="00FF53BB" w:rsidRPr="00602C61">
        <w:rPr>
          <w:rFonts w:eastAsia="Calibri"/>
          <w:lang w:val="fr-CH"/>
        </w:rPr>
        <w:t xml:space="preserve"> à disposition les informations et non</w:t>
      </w:r>
      <w:r w:rsidR="007C157E">
        <w:rPr>
          <w:rFonts w:eastAsia="Calibri"/>
          <w:lang w:val="fr-CH"/>
        </w:rPr>
        <w:t xml:space="preserve"> plus</w:t>
      </w:r>
      <w:r w:rsidR="00FF53BB" w:rsidRPr="00602C61">
        <w:rPr>
          <w:rFonts w:eastAsia="Calibri"/>
          <w:lang w:val="fr-CH"/>
        </w:rPr>
        <w:t xml:space="preserve">, comme l’exige le droit en vigueur, </w:t>
      </w:r>
      <w:r w:rsidR="00964337">
        <w:rPr>
          <w:rFonts w:eastAsia="Calibri"/>
          <w:lang w:val="fr-CH"/>
        </w:rPr>
        <w:t>sur requête</w:t>
      </w:r>
      <w:r w:rsidR="00FF53BB" w:rsidRPr="00602C61">
        <w:rPr>
          <w:rFonts w:eastAsia="Calibri"/>
          <w:lang w:val="fr-CH"/>
        </w:rPr>
        <w:t xml:space="preserve"> de la personne concernée</w:t>
      </w:r>
      <w:r w:rsidR="00F1581D" w:rsidRPr="00602C61">
        <w:rPr>
          <w:lang w:val="fr-CH"/>
        </w:rPr>
        <w:t xml:space="preserve">. </w:t>
      </w:r>
      <w:r w:rsidR="00FF53BB" w:rsidRPr="00602C61">
        <w:rPr>
          <w:lang w:val="fr-CH"/>
        </w:rPr>
        <w:t>Cette dernière doit par conséquent obtenir les informations sans avo</w:t>
      </w:r>
      <w:r w:rsidR="005717A0" w:rsidRPr="00602C61">
        <w:rPr>
          <w:lang w:val="fr-CH"/>
        </w:rPr>
        <w:t>ir</w:t>
      </w:r>
      <w:r w:rsidR="00FF53BB" w:rsidRPr="00602C61">
        <w:rPr>
          <w:lang w:val="fr-CH"/>
        </w:rPr>
        <w:t xml:space="preserve"> à en faire la demande. </w:t>
      </w:r>
    </w:p>
    <w:p w:rsidR="00F1581D" w:rsidRPr="00602C61" w:rsidRDefault="00A24847" w:rsidP="00F1581D">
      <w:pPr>
        <w:widowControl w:val="0"/>
        <w:tabs>
          <w:tab w:val="left" w:pos="5387"/>
        </w:tabs>
        <w:spacing w:before="120" w:line="280" w:lineRule="exact"/>
        <w:rPr>
          <w:lang w:val="fr-CH"/>
        </w:rPr>
      </w:pPr>
      <w:r w:rsidRPr="00602C61">
        <w:rPr>
          <w:lang w:val="fr-CH"/>
        </w:rPr>
        <w:t xml:space="preserve">L’article 3, alinéa 3 règle la façon de transmettre l’information à la personne concernée. Trois possibilités sont prévues: </w:t>
      </w:r>
      <w:r w:rsidR="004B411C" w:rsidRPr="00602C61">
        <w:rPr>
          <w:lang w:val="fr-CH"/>
        </w:rPr>
        <w:t xml:space="preserve">au moyen d’une publication dans le registre des fichiers, conformément à l’article 18 LCPD, sur le site Internet de l’autorité responsable ou directement à la personne concernée. </w:t>
      </w:r>
      <w:r w:rsidR="00586302" w:rsidRPr="00602C61">
        <w:rPr>
          <w:lang w:val="fr-CH"/>
        </w:rPr>
        <w:t xml:space="preserve">La solution retenue dépend du type de collecte de données. </w:t>
      </w:r>
      <w:r w:rsidR="00586302" w:rsidRPr="00602C61">
        <w:rPr>
          <w:rFonts w:cs="Arial"/>
          <w:color w:val="000000"/>
          <w:szCs w:val="24"/>
          <w:lang w:val="fr-CH"/>
        </w:rPr>
        <w:t xml:space="preserve">Si les données sont directement obtenues </w:t>
      </w:r>
      <w:r w:rsidR="00586302" w:rsidRPr="00602C61">
        <w:rPr>
          <w:rFonts w:cs="Arial"/>
          <w:i/>
          <w:color w:val="000000"/>
          <w:szCs w:val="24"/>
          <w:lang w:val="fr-CH"/>
        </w:rPr>
        <w:t>auprès de la personne concernée</w:t>
      </w:r>
      <w:r w:rsidR="00F1581D" w:rsidRPr="00602C61">
        <w:rPr>
          <w:rFonts w:cs="Arial"/>
          <w:color w:val="000000"/>
          <w:szCs w:val="24"/>
          <w:lang w:val="fr-CH"/>
        </w:rPr>
        <w:t xml:space="preserve">, </w:t>
      </w:r>
      <w:r w:rsidR="00B969F1" w:rsidRPr="00602C61">
        <w:rPr>
          <w:rFonts w:cs="Arial"/>
          <w:color w:val="000000"/>
          <w:szCs w:val="24"/>
          <w:lang w:val="fr-CH"/>
        </w:rPr>
        <w:t>la publication dans le registre des fichiers ou sur le site Internet suffit</w:t>
      </w:r>
      <w:r w:rsidR="00F1581D" w:rsidRPr="00602C61">
        <w:rPr>
          <w:rFonts w:cs="Arial"/>
          <w:color w:val="000000"/>
          <w:szCs w:val="24"/>
          <w:lang w:val="fr-CH"/>
        </w:rPr>
        <w:t xml:space="preserve">. </w:t>
      </w:r>
      <w:r w:rsidR="00191528" w:rsidRPr="00602C61">
        <w:rPr>
          <w:rFonts w:cs="Arial"/>
          <w:color w:val="000000"/>
          <w:szCs w:val="24"/>
          <w:lang w:val="fr-CH"/>
        </w:rPr>
        <w:t xml:space="preserve">Dans tous les cas, l’autorité responsable doit s’assurer que l’information est bel et bien portée à la connaissance de la personne. Il s’agit de garantir la possibilité de s’informer de manière simple et accessible, mais pas </w:t>
      </w:r>
      <w:r w:rsidR="00964337">
        <w:rPr>
          <w:rFonts w:cs="Arial"/>
          <w:color w:val="000000"/>
          <w:szCs w:val="24"/>
          <w:lang w:val="fr-CH"/>
        </w:rPr>
        <w:t>de vérifier au cas par cas si</w:t>
      </w:r>
      <w:r w:rsidR="00191528" w:rsidRPr="00602C61">
        <w:rPr>
          <w:rFonts w:cs="Arial"/>
          <w:color w:val="000000"/>
          <w:szCs w:val="24"/>
          <w:lang w:val="fr-CH"/>
        </w:rPr>
        <w:t xml:space="preserve"> la personne concernée p</w:t>
      </w:r>
      <w:r w:rsidR="00964337">
        <w:rPr>
          <w:rFonts w:cs="Arial"/>
          <w:color w:val="000000"/>
          <w:szCs w:val="24"/>
          <w:lang w:val="fr-CH"/>
        </w:rPr>
        <w:t>eut</w:t>
      </w:r>
      <w:r w:rsidR="00191528" w:rsidRPr="00602C61">
        <w:rPr>
          <w:rFonts w:cs="Arial"/>
          <w:color w:val="000000"/>
          <w:szCs w:val="24"/>
          <w:lang w:val="fr-CH"/>
        </w:rPr>
        <w:t xml:space="preserve"> réellement s’informer. Lorsque la collecte des données se fait auprès de </w:t>
      </w:r>
      <w:r w:rsidR="00191528" w:rsidRPr="00602C61">
        <w:rPr>
          <w:rFonts w:cs="Arial"/>
          <w:i/>
          <w:color w:val="000000"/>
          <w:szCs w:val="24"/>
          <w:lang w:val="fr-CH"/>
        </w:rPr>
        <w:t>tiers</w:t>
      </w:r>
      <w:r w:rsidR="00191528" w:rsidRPr="00602C61">
        <w:rPr>
          <w:rFonts w:cs="Arial"/>
          <w:color w:val="000000"/>
          <w:szCs w:val="24"/>
          <w:lang w:val="fr-CH"/>
        </w:rPr>
        <w:t xml:space="preserve">, </w:t>
      </w:r>
      <w:r w:rsidR="00901939" w:rsidRPr="00602C61">
        <w:rPr>
          <w:rFonts w:cs="Arial"/>
          <w:color w:val="000000"/>
          <w:szCs w:val="24"/>
          <w:lang w:val="fr-CH"/>
        </w:rPr>
        <w:t xml:space="preserve">il faudrait que la personne concernée soit directement informée. </w:t>
      </w:r>
    </w:p>
    <w:p w:rsidR="00F1581D" w:rsidRPr="00602C61" w:rsidRDefault="00021F21" w:rsidP="00F1581D">
      <w:pPr>
        <w:spacing w:before="120" w:line="280" w:lineRule="exact"/>
        <w:rPr>
          <w:rFonts w:eastAsia="Calibri"/>
          <w:b/>
          <w:lang w:val="fr-CH"/>
        </w:rPr>
      </w:pPr>
      <w:r w:rsidRPr="00602C61">
        <w:rPr>
          <w:rFonts w:eastAsia="Calibri"/>
          <w:b/>
          <w:lang w:val="fr-CH"/>
        </w:rPr>
        <w:t>Art</w:t>
      </w:r>
      <w:r w:rsidR="004348BE" w:rsidRPr="00602C61">
        <w:rPr>
          <w:rFonts w:eastAsia="Calibri"/>
          <w:b/>
          <w:lang w:val="fr-CH"/>
        </w:rPr>
        <w:t>icle</w:t>
      </w:r>
      <w:r w:rsidR="00F1581D" w:rsidRPr="00602C61">
        <w:rPr>
          <w:rFonts w:eastAsia="Calibri"/>
          <w:b/>
          <w:lang w:val="fr-CH"/>
        </w:rPr>
        <w:t xml:space="preserve"> 4</w:t>
      </w:r>
    </w:p>
    <w:p w:rsidR="002E0FE6" w:rsidRDefault="0079199B" w:rsidP="00F1581D">
      <w:pPr>
        <w:spacing w:before="120" w:line="280" w:lineRule="exact"/>
        <w:rPr>
          <w:rFonts w:eastAsia="Calibri"/>
          <w:lang w:val="fr-CH"/>
        </w:rPr>
      </w:pPr>
      <w:r w:rsidRPr="00602C61">
        <w:rPr>
          <w:rFonts w:eastAsia="Calibri"/>
          <w:lang w:val="fr-CH"/>
        </w:rPr>
        <w:t xml:space="preserve">L’article 4 prévoit des exceptions au devoir d’informer lors de la collecte de données personnelles. Selon l’alinéa 1, lettre </w:t>
      </w:r>
      <w:r w:rsidRPr="00602C61">
        <w:rPr>
          <w:rFonts w:eastAsia="Calibri"/>
          <w:i/>
          <w:lang w:val="fr-CH"/>
        </w:rPr>
        <w:t>b</w:t>
      </w:r>
      <w:r w:rsidRPr="00602C61">
        <w:rPr>
          <w:rFonts w:eastAsia="Calibri"/>
          <w:lang w:val="fr-CH"/>
        </w:rPr>
        <w:t xml:space="preserve">, </w:t>
      </w:r>
      <w:r w:rsidR="00A01A1B" w:rsidRPr="00602C61">
        <w:rPr>
          <w:rFonts w:eastAsia="Calibri"/>
          <w:lang w:val="fr-CH"/>
        </w:rPr>
        <w:t xml:space="preserve">il peut être renoncé à l’information lorsque le traitement des données personnelles est expressément prévu par la loi. </w:t>
      </w:r>
      <w:r w:rsidR="003B35C3" w:rsidRPr="00602C61">
        <w:rPr>
          <w:rFonts w:eastAsia="Calibri"/>
          <w:lang w:val="fr-CH"/>
        </w:rPr>
        <w:t xml:space="preserve">C’est en général au niveau communal que les règles sont expressément énoncées. </w:t>
      </w:r>
    </w:p>
    <w:p w:rsidR="00F1581D" w:rsidRPr="00602C61" w:rsidRDefault="000F5D7B" w:rsidP="00F1581D">
      <w:pPr>
        <w:spacing w:before="120" w:after="120" w:line="280" w:lineRule="exact"/>
        <w:rPr>
          <w:b/>
          <w:lang w:val="fr-CH"/>
        </w:rPr>
      </w:pPr>
      <w:r>
        <w:rPr>
          <w:rFonts w:eastAsia="Calibri"/>
          <w:lang w:val="fr-CH"/>
        </w:rPr>
        <w:br w:type="page"/>
      </w:r>
      <w:r w:rsidR="00D75891" w:rsidRPr="00602C61">
        <w:rPr>
          <w:b/>
          <w:lang w:val="fr-CH"/>
        </w:rPr>
        <w:lastRenderedPageBreak/>
        <w:t>Art</w:t>
      </w:r>
      <w:r w:rsidR="003B35C3" w:rsidRPr="00602C61">
        <w:rPr>
          <w:b/>
          <w:lang w:val="fr-CH"/>
        </w:rPr>
        <w:t>icle</w:t>
      </w:r>
      <w:r w:rsidR="00F1581D" w:rsidRPr="00602C61">
        <w:rPr>
          <w:b/>
          <w:lang w:val="fr-CH"/>
        </w:rPr>
        <w:t xml:space="preserve"> 5 </w:t>
      </w:r>
    </w:p>
    <w:p w:rsidR="00F1581D" w:rsidRPr="00602C61" w:rsidRDefault="003B35C3" w:rsidP="00F1581D">
      <w:pPr>
        <w:spacing w:line="280" w:lineRule="exact"/>
        <w:rPr>
          <w:lang w:val="fr-CH"/>
        </w:rPr>
      </w:pPr>
      <w:r w:rsidRPr="00602C61">
        <w:rPr>
          <w:rFonts w:cs="Arial"/>
          <w:lang w:val="fr-CH"/>
        </w:rPr>
        <w:t xml:space="preserve">L’article 16, alinéa 6 de la directive européenne prévoit </w:t>
      </w:r>
      <w:r w:rsidR="00B06D9B" w:rsidRPr="00602C61">
        <w:rPr>
          <w:rFonts w:cs="Arial"/>
          <w:lang w:val="fr-CH"/>
        </w:rPr>
        <w:t xml:space="preserve">que, lorsque des données à caractère personnel ont été rectifiées ou effacées ou que le traitement a été limité, le responsable du traitement adresse une notification aux </w:t>
      </w:r>
      <w:r w:rsidR="00B06D9B" w:rsidRPr="00602C61">
        <w:rPr>
          <w:rFonts w:cs="Arial"/>
          <w:i/>
          <w:lang w:val="fr-CH"/>
        </w:rPr>
        <w:t>destinataires</w:t>
      </w:r>
      <w:r w:rsidR="00B06D9B" w:rsidRPr="00602C61">
        <w:rPr>
          <w:rFonts w:cs="Arial"/>
          <w:lang w:val="fr-CH"/>
        </w:rPr>
        <w:t xml:space="preserve"> et que ceux-ci rectifient ou effacent les données à caractère personnel ou limitent le traitement des données à caractère personnel sous leur responsabilité. </w:t>
      </w:r>
      <w:r w:rsidR="00736D36" w:rsidRPr="00602C61">
        <w:rPr>
          <w:rFonts w:cs="Arial"/>
          <w:lang w:val="fr-CH"/>
        </w:rPr>
        <w:t>Le droit cantonal actuel ne contient pas de disposition similaire</w:t>
      </w:r>
      <w:r w:rsidR="00F1581D" w:rsidRPr="00602C61">
        <w:rPr>
          <w:position w:val="8"/>
          <w:sz w:val="14"/>
          <w:lang w:val="fr-CH"/>
        </w:rPr>
        <w:footnoteReference w:id="2"/>
      </w:r>
      <w:r w:rsidR="00840800">
        <w:rPr>
          <w:rFonts w:cs="Arial"/>
          <w:lang w:val="fr-CH"/>
        </w:rPr>
        <w:t>.</w:t>
      </w:r>
      <w:r w:rsidR="00F1581D" w:rsidRPr="00602C61">
        <w:rPr>
          <w:lang w:val="fr-CH"/>
        </w:rPr>
        <w:t xml:space="preserve"> </w:t>
      </w:r>
      <w:r w:rsidR="0061647F" w:rsidRPr="00602C61">
        <w:rPr>
          <w:lang w:val="fr-CH"/>
        </w:rPr>
        <w:t xml:space="preserve">En réaction à la proposition du </w:t>
      </w:r>
      <w:r w:rsidR="00D750F8">
        <w:rPr>
          <w:lang w:val="fr-CH"/>
        </w:rPr>
        <w:t>guide pratique</w:t>
      </w:r>
      <w:r w:rsidR="00D750F8" w:rsidRPr="00602C61">
        <w:rPr>
          <w:lang w:val="fr-CH"/>
        </w:rPr>
        <w:t xml:space="preserve"> </w:t>
      </w:r>
      <w:r w:rsidR="0061647F" w:rsidRPr="00602C61">
        <w:rPr>
          <w:lang w:val="fr-CH"/>
        </w:rPr>
        <w:t>de la CdC, une disposition correspondante est ajoutée à l’</w:t>
      </w:r>
      <w:r w:rsidR="0085355B" w:rsidRPr="0085355B">
        <w:rPr>
          <w:rFonts w:cs="Arial"/>
          <w:color w:val="000000"/>
          <w:szCs w:val="22"/>
          <w:lang w:val="fr-CH"/>
        </w:rPr>
        <w:t>OiDPD</w:t>
      </w:r>
      <w:r w:rsidR="005A418A" w:rsidRPr="00602C61">
        <w:rPr>
          <w:lang w:val="fr-CH"/>
        </w:rPr>
        <w:t xml:space="preserve">: l’autorité responsable informe les autorités ou personnes privées auxquelles elle a </w:t>
      </w:r>
      <w:r w:rsidR="005A418A" w:rsidRPr="00602C61">
        <w:rPr>
          <w:i/>
          <w:lang w:val="fr-CH"/>
        </w:rPr>
        <w:t>communiqué</w:t>
      </w:r>
      <w:r w:rsidR="005A418A" w:rsidRPr="00602C61">
        <w:rPr>
          <w:lang w:val="fr-CH"/>
        </w:rPr>
        <w:t xml:space="preserve"> les données personnelles (art. 10 à 14a LCPD) de toute rectification ou destruction entreprise en application de l’article 23 ou 24 LCPD</w:t>
      </w:r>
      <w:r w:rsidR="00F1581D" w:rsidRPr="00602C61">
        <w:rPr>
          <w:lang w:val="fr-CH"/>
        </w:rPr>
        <w:t>.</w:t>
      </w:r>
    </w:p>
    <w:p w:rsidR="00F1581D" w:rsidRPr="00602C61" w:rsidRDefault="0070450D" w:rsidP="00F1581D">
      <w:pPr>
        <w:spacing w:line="280" w:lineRule="exact"/>
        <w:rPr>
          <w:rFonts w:eastAsia="Calibri"/>
          <w:lang w:val="fr-CH"/>
        </w:rPr>
      </w:pPr>
      <w:r w:rsidRPr="00602C61">
        <w:rPr>
          <w:lang w:val="fr-CH"/>
        </w:rPr>
        <w:t>La communication est optionnelle lorsqu’elle s’avère impossible ou qu’elle nécessite des efforts disproportionnés.</w:t>
      </w:r>
    </w:p>
    <w:p w:rsidR="00F1581D" w:rsidRPr="00602C61" w:rsidRDefault="00636DE7" w:rsidP="00F1581D">
      <w:pPr>
        <w:spacing w:before="120" w:after="120" w:line="280" w:lineRule="exact"/>
        <w:rPr>
          <w:b/>
          <w:lang w:val="fr-CH"/>
        </w:rPr>
      </w:pPr>
      <w:r w:rsidRPr="00602C61">
        <w:rPr>
          <w:b/>
          <w:lang w:val="fr-CH"/>
        </w:rPr>
        <w:t>Art</w:t>
      </w:r>
      <w:r w:rsidR="00CC2425" w:rsidRPr="00602C61">
        <w:rPr>
          <w:b/>
          <w:lang w:val="fr-CH"/>
        </w:rPr>
        <w:t>icle</w:t>
      </w:r>
      <w:r w:rsidR="00F1581D" w:rsidRPr="00602C61">
        <w:rPr>
          <w:b/>
          <w:lang w:val="fr-CH"/>
        </w:rPr>
        <w:t xml:space="preserve"> 6 </w:t>
      </w:r>
    </w:p>
    <w:p w:rsidR="00F1581D" w:rsidRPr="00602C61" w:rsidRDefault="006965D6" w:rsidP="00F1581D">
      <w:pPr>
        <w:spacing w:before="120" w:line="280" w:lineRule="exact"/>
        <w:rPr>
          <w:lang w:val="fr-CH"/>
        </w:rPr>
      </w:pPr>
      <w:r w:rsidRPr="00602C61">
        <w:rPr>
          <w:lang w:val="fr-CH"/>
        </w:rPr>
        <w:t xml:space="preserve">Les articles 22 et 23 de la directive européenne </w:t>
      </w:r>
      <w:r w:rsidR="004641C0" w:rsidRPr="00602C61">
        <w:rPr>
          <w:lang w:val="fr-CH"/>
        </w:rPr>
        <w:t xml:space="preserve">fixent des prescriptions détaillées s’agissant des conditions pour l’intervention de </w:t>
      </w:r>
      <w:r w:rsidR="004641C0" w:rsidRPr="00602C61">
        <w:rPr>
          <w:i/>
          <w:lang w:val="fr-CH"/>
        </w:rPr>
        <w:t>sous-traitants</w:t>
      </w:r>
      <w:r w:rsidR="004641C0" w:rsidRPr="00602C61">
        <w:rPr>
          <w:lang w:val="fr-CH"/>
        </w:rPr>
        <w:t xml:space="preserve">. L’article 16 LCPD aussi règle la question du traitement des données personnelles </w:t>
      </w:r>
      <w:r w:rsidR="004641C0" w:rsidRPr="00602C61">
        <w:rPr>
          <w:i/>
          <w:lang w:val="fr-CH"/>
        </w:rPr>
        <w:t>sur mandat</w:t>
      </w:r>
      <w:r w:rsidR="004641C0" w:rsidRPr="00602C61">
        <w:rPr>
          <w:lang w:val="fr-CH"/>
        </w:rPr>
        <w:t xml:space="preserve"> de l’autorité </w:t>
      </w:r>
      <w:r w:rsidR="0063748F" w:rsidRPr="00602C61">
        <w:rPr>
          <w:lang w:val="fr-CH"/>
        </w:rPr>
        <w:t>responsable; il prévoit que le mandataire a vis-à-vis de la loi la même position que son mandant</w:t>
      </w:r>
      <w:r w:rsidR="00F1581D" w:rsidRPr="00602C61">
        <w:rPr>
          <w:lang w:val="fr-CH"/>
        </w:rPr>
        <w:t xml:space="preserve">. </w:t>
      </w:r>
      <w:r w:rsidR="00B00548" w:rsidRPr="00602C61">
        <w:rPr>
          <w:lang w:val="fr-CH"/>
        </w:rPr>
        <w:t xml:space="preserve">Ainsi, le législateur a voulu s’assurer que le traitement sur mandat soit </w:t>
      </w:r>
      <w:proofErr w:type="gramStart"/>
      <w:r w:rsidR="00B00548" w:rsidRPr="00602C61">
        <w:rPr>
          <w:lang w:val="fr-CH"/>
        </w:rPr>
        <w:t>régit</w:t>
      </w:r>
      <w:proofErr w:type="gramEnd"/>
      <w:r w:rsidR="00B00548" w:rsidRPr="00602C61">
        <w:rPr>
          <w:lang w:val="fr-CH"/>
        </w:rPr>
        <w:t xml:space="preserve"> par les mêmes principes que le traitement premier des données. </w:t>
      </w:r>
      <w:r w:rsidR="006F1528" w:rsidRPr="00602C61">
        <w:rPr>
          <w:lang w:val="fr-CH"/>
        </w:rPr>
        <w:t xml:space="preserve">Il n’est pas nécessaire de compléter le droit cantonal pour que les prescriptions européennes des articles 22 et 23 soient respectées. </w:t>
      </w:r>
    </w:p>
    <w:p w:rsidR="00F1581D" w:rsidRPr="00602C61" w:rsidRDefault="008D5293" w:rsidP="00F1581D">
      <w:pPr>
        <w:spacing w:before="120" w:line="280" w:lineRule="exact"/>
        <w:rPr>
          <w:lang w:val="fr-CH"/>
        </w:rPr>
      </w:pPr>
      <w:r w:rsidRPr="00602C61">
        <w:rPr>
          <w:rFonts w:cs="Arial"/>
          <w:lang w:val="fr-CH"/>
        </w:rPr>
        <w:t>L’article 22, alinéa 2 de la directive européenne fixe en particulier</w:t>
      </w:r>
      <w:r w:rsidR="00B3462F" w:rsidRPr="00602C61">
        <w:rPr>
          <w:rFonts w:cs="Arial"/>
          <w:lang w:val="fr-CH"/>
        </w:rPr>
        <w:t xml:space="preserve"> les modalités </w:t>
      </w:r>
      <w:r w:rsidR="00FE55E9">
        <w:rPr>
          <w:rFonts w:cs="Arial"/>
          <w:lang w:val="fr-CH"/>
        </w:rPr>
        <w:t>du</w:t>
      </w:r>
      <w:r w:rsidR="00B3462F" w:rsidRPr="00602C61">
        <w:rPr>
          <w:rFonts w:cs="Arial"/>
          <w:lang w:val="fr-CH"/>
        </w:rPr>
        <w:t xml:space="preserve"> recrutement d’un mandataire </w:t>
      </w:r>
      <w:r w:rsidR="00B3462F" w:rsidRPr="00602C61">
        <w:rPr>
          <w:rFonts w:cs="Arial"/>
          <w:i/>
          <w:lang w:val="fr-CH"/>
        </w:rPr>
        <w:t>par un autre mandataire</w:t>
      </w:r>
      <w:r w:rsidR="00B3462F" w:rsidRPr="00602C61">
        <w:rPr>
          <w:rFonts w:cs="Arial"/>
          <w:lang w:val="fr-CH"/>
        </w:rPr>
        <w:t xml:space="preserve"> pour le traitement des données</w:t>
      </w:r>
      <w:r w:rsidR="00F1581D" w:rsidRPr="00602C61">
        <w:rPr>
          <w:lang w:val="fr-CH"/>
        </w:rPr>
        <w:t xml:space="preserve">. </w:t>
      </w:r>
      <w:r w:rsidR="00B3462F" w:rsidRPr="00602C61">
        <w:rPr>
          <w:lang w:val="fr-CH"/>
        </w:rPr>
        <w:t xml:space="preserve">Une condition est que les données ne doivent être traitées que </w:t>
      </w:r>
      <w:r w:rsidR="00B3462F" w:rsidRPr="00602C61">
        <w:rPr>
          <w:i/>
          <w:lang w:val="fr-CH"/>
        </w:rPr>
        <w:t>sur instruction du responsable du traitement</w:t>
      </w:r>
      <w:r w:rsidR="00F1581D" w:rsidRPr="00602C61">
        <w:rPr>
          <w:lang w:val="fr-CH"/>
        </w:rPr>
        <w:t xml:space="preserve">. </w:t>
      </w:r>
      <w:r w:rsidR="001C0BB3" w:rsidRPr="00602C61">
        <w:rPr>
          <w:lang w:val="fr-CH"/>
        </w:rPr>
        <w:t xml:space="preserve">A ce sujet, l’article 16, </w:t>
      </w:r>
      <w:r w:rsidR="00FE55E9">
        <w:rPr>
          <w:lang w:val="fr-CH"/>
        </w:rPr>
        <w:t>2</w:t>
      </w:r>
      <w:r w:rsidR="00FE55E9" w:rsidRPr="00FE55E9">
        <w:rPr>
          <w:vertAlign w:val="superscript"/>
          <w:lang w:val="fr-CH"/>
        </w:rPr>
        <w:t>e</w:t>
      </w:r>
      <w:r w:rsidR="00FE55E9">
        <w:rPr>
          <w:lang w:val="fr-CH"/>
        </w:rPr>
        <w:t xml:space="preserve"> </w:t>
      </w:r>
      <w:r w:rsidR="001C0BB3" w:rsidRPr="00602C61">
        <w:rPr>
          <w:lang w:val="fr-CH"/>
        </w:rPr>
        <w:t xml:space="preserve">phrase LCPD exige seulement </w:t>
      </w:r>
      <w:r w:rsidR="00FE55E9">
        <w:rPr>
          <w:lang w:val="fr-CH"/>
        </w:rPr>
        <w:t xml:space="preserve">que </w:t>
      </w:r>
      <w:r w:rsidR="001C0BB3" w:rsidRPr="00602C61">
        <w:rPr>
          <w:lang w:val="fr-CH"/>
        </w:rPr>
        <w:t xml:space="preserve">la </w:t>
      </w:r>
      <w:r w:rsidR="001C0BB3" w:rsidRPr="00602C61">
        <w:rPr>
          <w:i/>
          <w:lang w:val="fr-CH"/>
        </w:rPr>
        <w:t>communication</w:t>
      </w:r>
      <w:r w:rsidR="001C0BB3" w:rsidRPr="00602C61">
        <w:rPr>
          <w:lang w:val="fr-CH"/>
        </w:rPr>
        <w:t xml:space="preserve"> de données personnelles à des tiers se fasse avec l’accord exprès du mandant. </w:t>
      </w:r>
      <w:r w:rsidR="005D743D" w:rsidRPr="00602C61">
        <w:rPr>
          <w:lang w:val="fr-CH"/>
        </w:rPr>
        <w:t xml:space="preserve">Contrairement à l’article 22, alinéa 2 de la directive européenne, il n’est pas indiqué que le </w:t>
      </w:r>
      <w:r w:rsidR="005D743D" w:rsidRPr="00602C61">
        <w:rPr>
          <w:i/>
          <w:lang w:val="fr-CH"/>
        </w:rPr>
        <w:t>traitement</w:t>
      </w:r>
      <w:r w:rsidR="005D743D" w:rsidRPr="00602C61">
        <w:rPr>
          <w:lang w:val="fr-CH"/>
        </w:rPr>
        <w:t xml:space="preserve"> des données par des tiers ne peut advenir que sur requête du responsable du traitement. L’ordonnance doit donc contenir une disposition allant en ce sens pour compléter l’article 16 LCPD. </w:t>
      </w:r>
    </w:p>
    <w:p w:rsidR="00F1581D" w:rsidRPr="00602C61" w:rsidRDefault="000805FE" w:rsidP="00F1581D">
      <w:pPr>
        <w:spacing w:before="120" w:after="120" w:line="280" w:lineRule="exact"/>
        <w:rPr>
          <w:b/>
          <w:lang w:val="fr-CH"/>
        </w:rPr>
      </w:pPr>
      <w:r w:rsidRPr="00602C61">
        <w:rPr>
          <w:b/>
          <w:lang w:val="fr-CH"/>
        </w:rPr>
        <w:t>Art</w:t>
      </w:r>
      <w:r w:rsidR="0052742A" w:rsidRPr="00602C61">
        <w:rPr>
          <w:b/>
          <w:lang w:val="fr-CH"/>
        </w:rPr>
        <w:t>icles</w:t>
      </w:r>
      <w:r w:rsidRPr="00602C61">
        <w:rPr>
          <w:b/>
          <w:lang w:val="fr-CH"/>
        </w:rPr>
        <w:t xml:space="preserve"> </w:t>
      </w:r>
      <w:r w:rsidR="00F1581D" w:rsidRPr="00602C61">
        <w:rPr>
          <w:b/>
          <w:lang w:val="fr-CH"/>
        </w:rPr>
        <w:t xml:space="preserve">7 </w:t>
      </w:r>
      <w:r w:rsidR="0052742A" w:rsidRPr="00602C61">
        <w:rPr>
          <w:b/>
          <w:lang w:val="fr-CH"/>
        </w:rPr>
        <w:t>à</w:t>
      </w:r>
      <w:r w:rsidR="00F1581D" w:rsidRPr="00602C61">
        <w:rPr>
          <w:b/>
          <w:lang w:val="fr-CH"/>
        </w:rPr>
        <w:t xml:space="preserve"> 9 </w:t>
      </w:r>
    </w:p>
    <w:p w:rsidR="00F1581D" w:rsidRPr="00602C61" w:rsidRDefault="00066F58" w:rsidP="00F1581D">
      <w:pPr>
        <w:spacing w:line="280" w:lineRule="exact"/>
        <w:rPr>
          <w:rFonts w:eastAsia="Calibri"/>
          <w:lang w:val="fr-CH"/>
        </w:rPr>
      </w:pPr>
      <w:r w:rsidRPr="00602C61">
        <w:rPr>
          <w:rFonts w:eastAsia="Calibri"/>
          <w:lang w:val="fr-CH"/>
        </w:rPr>
        <w:t>L’article 30 de la directive européenne contient une disposition selon laquelle l’autorité responsable notifie toute violation des prescriptions sur la protection des données à l’</w:t>
      </w:r>
      <w:r w:rsidRPr="00602C61">
        <w:rPr>
          <w:rFonts w:eastAsia="Calibri"/>
          <w:i/>
          <w:lang w:val="fr-CH"/>
        </w:rPr>
        <w:t>autorité de contrôle</w:t>
      </w:r>
      <w:r w:rsidR="00F1581D" w:rsidRPr="00602C61">
        <w:rPr>
          <w:rFonts w:eastAsia="Calibri"/>
          <w:lang w:val="fr-CH"/>
        </w:rPr>
        <w:t xml:space="preserve">. </w:t>
      </w:r>
      <w:r w:rsidR="000826D7" w:rsidRPr="00602C61">
        <w:rPr>
          <w:rFonts w:eastAsia="Calibri"/>
          <w:lang w:val="fr-CH"/>
        </w:rPr>
        <w:t xml:space="preserve">En cas de </w:t>
      </w:r>
      <w:r w:rsidR="000826D7" w:rsidRPr="00602C61">
        <w:rPr>
          <w:rFonts w:eastAsia="Calibri"/>
          <w:i/>
          <w:lang w:val="fr-CH"/>
        </w:rPr>
        <w:t>traitement sur mandat</w:t>
      </w:r>
      <w:r w:rsidR="000826D7" w:rsidRPr="00602C61">
        <w:rPr>
          <w:rFonts w:eastAsia="Calibri"/>
          <w:lang w:val="fr-CH"/>
        </w:rPr>
        <w:t xml:space="preserve">, </w:t>
      </w:r>
      <w:r w:rsidR="00197DE6" w:rsidRPr="00602C61">
        <w:rPr>
          <w:rFonts w:eastAsia="Calibri"/>
          <w:lang w:val="fr-CH"/>
        </w:rPr>
        <w:t>le mandataire doit informer l’</w:t>
      </w:r>
      <w:r w:rsidR="00197DE6" w:rsidRPr="00602C61">
        <w:rPr>
          <w:rFonts w:eastAsia="Calibri"/>
          <w:i/>
          <w:lang w:val="fr-CH"/>
        </w:rPr>
        <w:t>autorité responsable</w:t>
      </w:r>
      <w:r w:rsidR="00197DE6" w:rsidRPr="00602C61">
        <w:rPr>
          <w:rFonts w:eastAsia="Calibri"/>
          <w:lang w:val="fr-CH"/>
        </w:rPr>
        <w:t xml:space="preserve"> de la violation. </w:t>
      </w:r>
      <w:r w:rsidR="00BD6BC0" w:rsidRPr="00602C61">
        <w:rPr>
          <w:rFonts w:eastAsia="Calibri"/>
          <w:lang w:val="fr-CH"/>
        </w:rPr>
        <w:t xml:space="preserve">Les violations visées en premier lieu résultent de fuites de données, pertes de support de données, piratages, etc. </w:t>
      </w:r>
      <w:r w:rsidR="00AD6C4F" w:rsidRPr="00602C61">
        <w:rPr>
          <w:rFonts w:eastAsia="Calibri"/>
          <w:lang w:val="fr-CH"/>
        </w:rPr>
        <w:t>La violation peut être le fait d’un tiers, mais aussi d’un collaborateur qui abuse de son pouvoir ou agit avec négligence</w:t>
      </w:r>
      <w:r w:rsidR="00F1581D" w:rsidRPr="00602C61">
        <w:rPr>
          <w:rFonts w:eastAsia="Calibri"/>
          <w:lang w:val="fr-CH"/>
        </w:rPr>
        <w:t>.</w:t>
      </w:r>
    </w:p>
    <w:p w:rsidR="00F1581D" w:rsidRPr="00602C61" w:rsidRDefault="00F1581D" w:rsidP="00F1581D">
      <w:pPr>
        <w:spacing w:line="280" w:lineRule="exact"/>
        <w:rPr>
          <w:rFonts w:eastAsia="Calibri"/>
          <w:lang w:val="fr-CH"/>
        </w:rPr>
      </w:pPr>
    </w:p>
    <w:p w:rsidR="00F1581D" w:rsidRPr="00602C61" w:rsidRDefault="00F75A46" w:rsidP="00F1581D">
      <w:pPr>
        <w:spacing w:line="280" w:lineRule="exact"/>
        <w:rPr>
          <w:rFonts w:eastAsia="Calibri" w:cs="Arial"/>
          <w:bCs/>
          <w:lang w:val="fr-CH"/>
        </w:rPr>
      </w:pPr>
      <w:r w:rsidRPr="00602C61">
        <w:rPr>
          <w:rFonts w:eastAsia="Calibri"/>
          <w:lang w:val="fr-CH"/>
        </w:rPr>
        <w:t xml:space="preserve">L’article 31 de la directive européenne définit les cas où la </w:t>
      </w:r>
      <w:r w:rsidRPr="00602C61">
        <w:rPr>
          <w:rFonts w:eastAsia="Calibri"/>
          <w:i/>
          <w:lang w:val="fr-CH"/>
        </w:rPr>
        <w:t>personne concernée</w:t>
      </w:r>
      <w:r w:rsidRPr="00602C61">
        <w:rPr>
          <w:rFonts w:eastAsia="Calibri"/>
          <w:lang w:val="fr-CH"/>
        </w:rPr>
        <w:t xml:space="preserve"> doit être avertie d’une telle violation. Cette information est avant tout transmise par l’autorité responsable. </w:t>
      </w:r>
      <w:r w:rsidR="008F4771" w:rsidRPr="00602C61">
        <w:rPr>
          <w:rFonts w:eastAsia="Calibri"/>
          <w:lang w:val="fr-CH"/>
        </w:rPr>
        <w:t>Si cette dernière néglige son devoir, l’autorité de contrôle peut exiger d’elle qu’elle le remplisse.</w:t>
      </w:r>
    </w:p>
    <w:p w:rsidR="00F1581D" w:rsidRPr="00602C61" w:rsidRDefault="000659D0" w:rsidP="00F1581D">
      <w:pPr>
        <w:spacing w:before="120" w:line="280" w:lineRule="exact"/>
        <w:rPr>
          <w:rFonts w:eastAsia="Calibri" w:cs="Arial"/>
          <w:bCs/>
          <w:lang w:val="fr-CH"/>
        </w:rPr>
      </w:pPr>
      <w:r w:rsidRPr="00602C61">
        <w:rPr>
          <w:rFonts w:eastAsia="Calibri" w:cs="Arial"/>
          <w:bCs/>
          <w:lang w:val="fr-CH"/>
        </w:rPr>
        <w:t xml:space="preserve">Ni la LCPD ni </w:t>
      </w:r>
      <w:r w:rsidR="00FE55E9">
        <w:rPr>
          <w:rFonts w:eastAsia="Calibri" w:cs="Arial"/>
          <w:bCs/>
          <w:lang w:val="fr-CH"/>
        </w:rPr>
        <w:t>son ordonnance d’application (OPD)</w:t>
      </w:r>
      <w:r w:rsidRPr="00602C61">
        <w:rPr>
          <w:rFonts w:eastAsia="Calibri" w:cs="Arial"/>
          <w:bCs/>
          <w:lang w:val="fr-CH"/>
        </w:rPr>
        <w:t xml:space="preserve"> ne connaissent de devoir d’informer similaire, de sorte qu</w:t>
      </w:r>
      <w:r w:rsidR="00FE55E9">
        <w:rPr>
          <w:rFonts w:eastAsia="Calibri" w:cs="Arial"/>
          <w:bCs/>
          <w:lang w:val="fr-CH"/>
        </w:rPr>
        <w:t>e l’introduction d</w:t>
      </w:r>
      <w:r w:rsidRPr="00602C61">
        <w:rPr>
          <w:rFonts w:eastAsia="Calibri" w:cs="Arial"/>
          <w:bCs/>
          <w:lang w:val="fr-CH"/>
        </w:rPr>
        <w:t>’une</w:t>
      </w:r>
      <w:r w:rsidR="00FE55E9">
        <w:rPr>
          <w:rFonts w:eastAsia="Calibri" w:cs="Arial"/>
          <w:bCs/>
          <w:lang w:val="fr-CH"/>
        </w:rPr>
        <w:t xml:space="preserve"> telle</w:t>
      </w:r>
      <w:r w:rsidRPr="00602C61">
        <w:rPr>
          <w:rFonts w:eastAsia="Calibri" w:cs="Arial"/>
          <w:bCs/>
          <w:lang w:val="fr-CH"/>
        </w:rPr>
        <w:t xml:space="preserve"> règle dans l’</w:t>
      </w:r>
      <w:r w:rsidR="0085355B">
        <w:rPr>
          <w:rFonts w:eastAsia="Calibri" w:cs="Arial"/>
          <w:bCs/>
          <w:lang w:val="fr-CH"/>
        </w:rPr>
        <w:t xml:space="preserve">OiDPD </w:t>
      </w:r>
      <w:r w:rsidRPr="00602C61">
        <w:rPr>
          <w:rFonts w:eastAsia="Calibri" w:cs="Arial"/>
          <w:bCs/>
          <w:lang w:val="fr-CH"/>
        </w:rPr>
        <w:t xml:space="preserve">s’impose. La Confédération a aussi prévu </w:t>
      </w:r>
      <w:r w:rsidR="00FE55E9" w:rsidRPr="00602C61">
        <w:rPr>
          <w:rFonts w:eastAsia="Calibri" w:cs="Arial"/>
          <w:bCs/>
          <w:lang w:val="fr-CH"/>
        </w:rPr>
        <w:t xml:space="preserve">une prescription analogue </w:t>
      </w:r>
      <w:r w:rsidRPr="00602C61">
        <w:rPr>
          <w:rFonts w:eastAsia="Calibri" w:cs="Arial"/>
          <w:bCs/>
          <w:lang w:val="fr-CH"/>
        </w:rPr>
        <w:t xml:space="preserve">dans sa révision totale de la LPD. </w:t>
      </w:r>
      <w:r w:rsidR="008B35AE" w:rsidRPr="00602C61">
        <w:rPr>
          <w:rFonts w:eastAsia="Calibri" w:cs="Arial"/>
          <w:bCs/>
          <w:lang w:val="fr-CH"/>
        </w:rPr>
        <w:t xml:space="preserve">L’ordonnance définit aussi ce qu’est une violation de la protection des données (art. 8, al. 2). </w:t>
      </w:r>
    </w:p>
    <w:p w:rsidR="00FE55E9" w:rsidRDefault="00C72736" w:rsidP="00F1581D">
      <w:pPr>
        <w:spacing w:before="120" w:after="120" w:line="280" w:lineRule="exact"/>
        <w:rPr>
          <w:rFonts w:eastAsia="Calibri"/>
          <w:lang w:val="fr-CH"/>
        </w:rPr>
      </w:pPr>
      <w:r w:rsidRPr="00602C61">
        <w:rPr>
          <w:rFonts w:eastAsia="Calibri" w:cs="Arial"/>
          <w:lang w:val="fr-CH"/>
        </w:rPr>
        <w:lastRenderedPageBreak/>
        <w:t>Les articles 7, alinéa 3 et 8, alinéas 2 et 3 de l’ordonnance</w:t>
      </w:r>
      <w:r w:rsidR="00FE55E9">
        <w:rPr>
          <w:rFonts w:eastAsia="Calibri" w:cs="Arial"/>
          <w:lang w:val="fr-CH"/>
        </w:rPr>
        <w:t>-type</w:t>
      </w:r>
      <w:r w:rsidRPr="00602C61">
        <w:rPr>
          <w:rFonts w:eastAsia="Calibri" w:cs="Arial"/>
          <w:lang w:val="fr-CH"/>
        </w:rPr>
        <w:t xml:space="preserve"> prévoient les </w:t>
      </w:r>
      <w:r w:rsidRPr="00F60501">
        <w:rPr>
          <w:rFonts w:eastAsia="Calibri" w:cs="Arial"/>
          <w:i/>
          <w:lang w:val="fr-CH"/>
        </w:rPr>
        <w:t>exceptions</w:t>
      </w:r>
      <w:r w:rsidRPr="00602C61">
        <w:rPr>
          <w:rFonts w:eastAsia="Calibri" w:cs="Arial"/>
          <w:lang w:val="fr-CH"/>
        </w:rPr>
        <w:t xml:space="preserve"> au devoir d’informer. </w:t>
      </w:r>
      <w:r w:rsidR="00614B10" w:rsidRPr="00602C61">
        <w:rPr>
          <w:rFonts w:eastAsia="Calibri" w:cs="Arial"/>
          <w:lang w:val="fr-CH"/>
        </w:rPr>
        <w:t xml:space="preserve">Ces exceptions n’ont rien à voir avec le devoir d’informer en cas de traitement des données sur mandat conformément à l’article 9. </w:t>
      </w:r>
    </w:p>
    <w:p w:rsidR="00F1581D" w:rsidRPr="00602C61" w:rsidRDefault="00D5415D" w:rsidP="00F1581D">
      <w:pPr>
        <w:spacing w:before="120" w:after="120" w:line="280" w:lineRule="exact"/>
        <w:rPr>
          <w:b/>
          <w:lang w:val="fr-CH"/>
        </w:rPr>
      </w:pPr>
      <w:r w:rsidRPr="00602C61">
        <w:rPr>
          <w:b/>
          <w:lang w:val="fr-CH"/>
        </w:rPr>
        <w:t>Art</w:t>
      </w:r>
      <w:r w:rsidR="00DD2030" w:rsidRPr="00602C61">
        <w:rPr>
          <w:b/>
          <w:lang w:val="fr-CH"/>
        </w:rPr>
        <w:t>icle</w:t>
      </w:r>
      <w:r w:rsidR="00F1581D" w:rsidRPr="00602C61">
        <w:rPr>
          <w:b/>
          <w:lang w:val="fr-CH"/>
        </w:rPr>
        <w:t xml:space="preserve"> 1</w:t>
      </w:r>
      <w:r w:rsidR="00E62A2B" w:rsidRPr="00602C61">
        <w:rPr>
          <w:b/>
          <w:lang w:val="fr-CH"/>
        </w:rPr>
        <w:t>0</w:t>
      </w:r>
      <w:r w:rsidR="00F1581D" w:rsidRPr="00602C61">
        <w:rPr>
          <w:b/>
          <w:lang w:val="fr-CH"/>
        </w:rPr>
        <w:t xml:space="preserve"> </w:t>
      </w:r>
    </w:p>
    <w:p w:rsidR="00F1581D" w:rsidRPr="00602C61" w:rsidRDefault="00FE55E9" w:rsidP="00F1581D">
      <w:pPr>
        <w:spacing w:before="120" w:line="280" w:lineRule="exact"/>
        <w:rPr>
          <w:rFonts w:eastAsia="Calibri"/>
          <w:lang w:val="fr-CH"/>
        </w:rPr>
      </w:pPr>
      <w:r>
        <w:rPr>
          <w:rFonts w:eastAsia="Calibri" w:cs="Arial"/>
          <w:lang w:val="fr-CH"/>
        </w:rPr>
        <w:t>Aux</w:t>
      </w:r>
      <w:r w:rsidR="004E7E2F" w:rsidRPr="00602C61">
        <w:rPr>
          <w:rFonts w:eastAsia="Calibri" w:cs="Arial"/>
          <w:lang w:val="fr-CH"/>
        </w:rPr>
        <w:t xml:space="preserve"> termes de l’article 34, alinéa 1, lettre </w:t>
      </w:r>
      <w:r w:rsidR="004E7E2F" w:rsidRPr="00602C61">
        <w:rPr>
          <w:rFonts w:eastAsia="Calibri" w:cs="Arial"/>
          <w:i/>
          <w:lang w:val="fr-CH"/>
        </w:rPr>
        <w:t>d</w:t>
      </w:r>
      <w:r w:rsidR="004E7E2F" w:rsidRPr="00602C61">
        <w:rPr>
          <w:rFonts w:eastAsia="Calibri" w:cs="Arial"/>
          <w:lang w:val="fr-CH"/>
        </w:rPr>
        <w:t xml:space="preserve"> LCPD, l’autorité de surveillance traite sous la forme de </w:t>
      </w:r>
      <w:r w:rsidR="004E7E2F" w:rsidRPr="00602C61">
        <w:rPr>
          <w:rFonts w:eastAsia="Calibri" w:cs="Arial"/>
          <w:i/>
          <w:lang w:val="fr-CH"/>
        </w:rPr>
        <w:t>dénonciations à l’autorité de surveillance</w:t>
      </w:r>
      <w:r w:rsidR="004E7E2F" w:rsidRPr="00602C61">
        <w:rPr>
          <w:rFonts w:eastAsia="Calibri" w:cs="Arial"/>
          <w:lang w:val="fr-CH"/>
        </w:rPr>
        <w:t xml:space="preserve"> les requêtes des personnes intéressées invoquant la violation des prescriptions de la loi</w:t>
      </w:r>
      <w:r w:rsidR="00F60501">
        <w:rPr>
          <w:rFonts w:eastAsia="Calibri" w:cs="Arial"/>
          <w:lang w:val="fr-CH"/>
        </w:rPr>
        <w:t xml:space="preserve"> précitée</w:t>
      </w:r>
      <w:r w:rsidR="00F1581D" w:rsidRPr="00602C61">
        <w:rPr>
          <w:rFonts w:eastAsia="Calibri"/>
          <w:lang w:val="fr-CH"/>
        </w:rPr>
        <w:t xml:space="preserve">. </w:t>
      </w:r>
      <w:r w:rsidR="009117C7" w:rsidRPr="00602C61">
        <w:rPr>
          <w:rFonts w:eastAsia="Calibri"/>
          <w:lang w:val="fr-CH"/>
        </w:rPr>
        <w:t>Selon l’article 52 de la directive européenne</w:t>
      </w:r>
      <w:r w:rsidR="00F1581D" w:rsidRPr="00602C61">
        <w:rPr>
          <w:rFonts w:eastAsia="Calibri"/>
          <w:lang w:val="fr-CH"/>
        </w:rPr>
        <w:t>,</w:t>
      </w:r>
      <w:r w:rsidR="009117C7" w:rsidRPr="00602C61">
        <w:rPr>
          <w:rFonts w:eastAsia="Calibri"/>
          <w:lang w:val="fr-CH"/>
        </w:rPr>
        <w:t xml:space="preserve"> toute personne concernée a le droit d'introduire une réclamation auprès d'une autorité de contrôle unique, si elle considère que le traitement de données à caractère personnel la concernant constitue une violation des dispositions adoptées en vertu de la présente directive.</w:t>
      </w:r>
      <w:r w:rsidR="00F1581D" w:rsidRPr="00602C61">
        <w:rPr>
          <w:lang w:val="fr-CH"/>
        </w:rPr>
        <w:t xml:space="preserve"> </w:t>
      </w:r>
      <w:r w:rsidR="0022430C" w:rsidRPr="00602C61">
        <w:rPr>
          <w:lang w:val="fr-CH"/>
        </w:rPr>
        <w:t>Il n’y a aucune raison de penser, ce que confirme</w:t>
      </w:r>
      <w:r w:rsidR="009129DB" w:rsidRPr="00602C61">
        <w:rPr>
          <w:lang w:val="fr-CH"/>
        </w:rPr>
        <w:t>nt</w:t>
      </w:r>
      <w:r w:rsidR="0022430C" w:rsidRPr="00602C61">
        <w:rPr>
          <w:lang w:val="fr-CH"/>
        </w:rPr>
        <w:t xml:space="preserve"> les conclusions du </w:t>
      </w:r>
      <w:r w:rsidR="00D750F8">
        <w:rPr>
          <w:lang w:val="fr-CH"/>
        </w:rPr>
        <w:t>guide pratique</w:t>
      </w:r>
      <w:r w:rsidR="00D750F8" w:rsidRPr="00602C61">
        <w:rPr>
          <w:lang w:val="fr-CH"/>
        </w:rPr>
        <w:t xml:space="preserve"> </w:t>
      </w:r>
      <w:r w:rsidR="0022430C" w:rsidRPr="00602C61">
        <w:rPr>
          <w:lang w:val="fr-CH"/>
        </w:rPr>
        <w:t>de la CdC, que</w:t>
      </w:r>
      <w:r w:rsidR="009129DB" w:rsidRPr="00602C61">
        <w:rPr>
          <w:lang w:val="fr-CH"/>
        </w:rPr>
        <w:t xml:space="preserve"> cette dernière prescription ai</w:t>
      </w:r>
      <w:r w:rsidR="0022430C" w:rsidRPr="00602C61">
        <w:rPr>
          <w:lang w:val="fr-CH"/>
        </w:rPr>
        <w:t>t</w:t>
      </w:r>
      <w:r w:rsidR="009129DB" w:rsidRPr="00602C61">
        <w:rPr>
          <w:lang w:val="fr-CH"/>
        </w:rPr>
        <w:t xml:space="preserve"> </w:t>
      </w:r>
      <w:r w:rsidR="0022430C" w:rsidRPr="00602C61">
        <w:rPr>
          <w:lang w:val="fr-CH"/>
        </w:rPr>
        <w:t>une portée plus large que celle qui existe déjà dans le droit cantonal, à l’article 101 de la loi du 23 mai 1989 sur la procédure et la juridiction administratives (LPJA)</w:t>
      </w:r>
      <w:r w:rsidR="009129DB" w:rsidRPr="00602C61">
        <w:rPr>
          <w:lang w:val="fr-CH"/>
        </w:rPr>
        <w:t xml:space="preserve"> concernant les dénonciations à l’autorité de surveillance.</w:t>
      </w:r>
      <w:r w:rsidR="00F1581D" w:rsidRPr="00602C61">
        <w:rPr>
          <w:rFonts w:eastAsia="Calibri"/>
          <w:lang w:val="fr-CH"/>
        </w:rPr>
        <w:t xml:space="preserve"> </w:t>
      </w:r>
      <w:r w:rsidR="009129DB" w:rsidRPr="00602C61">
        <w:rPr>
          <w:rFonts w:eastAsia="Calibri"/>
          <w:lang w:val="fr-CH"/>
        </w:rPr>
        <w:t xml:space="preserve">Rien ne justifie donc la création d’une nouvelle voie de droit pouvant être introduite devant le Bureau pour la surveillance de la protection des données. </w:t>
      </w:r>
    </w:p>
    <w:p w:rsidR="00F1581D" w:rsidRPr="00602C61" w:rsidRDefault="009129DB" w:rsidP="00F1581D">
      <w:pPr>
        <w:spacing w:before="120" w:line="280" w:lineRule="exact"/>
        <w:rPr>
          <w:rFonts w:eastAsia="Calibri"/>
          <w:lang w:val="fr-CH"/>
        </w:rPr>
      </w:pPr>
      <w:r w:rsidRPr="00602C61">
        <w:rPr>
          <w:rFonts w:eastAsia="Calibri"/>
          <w:lang w:val="fr-CH"/>
        </w:rPr>
        <w:t>Aucun délai n’est pr</w:t>
      </w:r>
      <w:r w:rsidR="00FE55E9">
        <w:rPr>
          <w:rFonts w:eastAsia="Calibri"/>
          <w:lang w:val="fr-CH"/>
        </w:rPr>
        <w:t>évu</w:t>
      </w:r>
      <w:r w:rsidRPr="00602C61">
        <w:rPr>
          <w:rFonts w:eastAsia="Calibri"/>
          <w:lang w:val="fr-CH"/>
        </w:rPr>
        <w:t xml:space="preserve"> pour le traitement de la dénonciation déposée auprès de l’autorité de surveillance. </w:t>
      </w:r>
      <w:r w:rsidR="00D71D64" w:rsidRPr="00602C61">
        <w:rPr>
          <w:rFonts w:eastAsia="Calibri"/>
          <w:lang w:val="fr-CH"/>
        </w:rPr>
        <w:t xml:space="preserve">L’article 34, alinéa 2 LCPD </w:t>
      </w:r>
      <w:r w:rsidR="00FE55E9">
        <w:rPr>
          <w:rFonts w:eastAsia="Calibri"/>
          <w:lang w:val="fr-CH"/>
        </w:rPr>
        <w:t>n’énonce</w:t>
      </w:r>
      <w:r w:rsidR="00D71D64" w:rsidRPr="00602C61">
        <w:rPr>
          <w:rFonts w:eastAsia="Calibri"/>
          <w:lang w:val="fr-CH"/>
        </w:rPr>
        <w:t xml:space="preserve"> qu’une simple généralité sur l’obligation de l’autorité de surveillance d’informer les personnes intéressées. </w:t>
      </w:r>
      <w:r w:rsidR="00752263" w:rsidRPr="00602C61">
        <w:rPr>
          <w:rFonts w:eastAsia="Calibri"/>
          <w:lang w:val="fr-CH"/>
        </w:rPr>
        <w:t xml:space="preserve">Selon l’article 53, alinéa 2 de la directive européenne, toute personne concernée a le droit de former un recours juridictionnel effectif lorsque l'autorité de contrôle […] ne traite pas une réclamation ou n'informe pas la personne concernée, </w:t>
      </w:r>
      <w:r w:rsidR="00752263" w:rsidRPr="00602C61">
        <w:rPr>
          <w:rFonts w:eastAsia="Calibri"/>
          <w:i/>
          <w:lang w:val="fr-CH"/>
        </w:rPr>
        <w:t>dans un délai de trois mois</w:t>
      </w:r>
      <w:r w:rsidR="00752263" w:rsidRPr="00602C61">
        <w:rPr>
          <w:rFonts w:eastAsia="Calibri"/>
          <w:lang w:val="fr-CH"/>
        </w:rPr>
        <w:t xml:space="preserve">, de l'état d'avancement ou de l'issue de la réclamation qu'elle a introduite au titre de l'article 52. </w:t>
      </w:r>
      <w:r w:rsidR="00305887" w:rsidRPr="00602C61">
        <w:rPr>
          <w:rFonts w:eastAsia="Calibri"/>
          <w:lang w:val="fr-CH"/>
        </w:rPr>
        <w:t xml:space="preserve">Il convient donc de mentionner le délai de trois mois dans la législation communale. </w:t>
      </w:r>
      <w:r w:rsidR="00696BE8" w:rsidRPr="00602C61">
        <w:rPr>
          <w:rFonts w:eastAsia="Calibri"/>
          <w:lang w:val="fr-CH"/>
        </w:rPr>
        <w:t xml:space="preserve">Ce laps de temps ne s’applique pas à toutes les dénonciations au sens de l’article 101 LPJA, mais uniquement à celle qui sont faites auprès du Bureau pour la surveillance de la protection des données (art. 34, al. 1, lit. </w:t>
      </w:r>
      <w:proofErr w:type="gramStart"/>
      <w:r w:rsidR="00696BE8" w:rsidRPr="00602C61">
        <w:rPr>
          <w:rFonts w:eastAsia="Calibri"/>
          <w:i/>
          <w:lang w:val="fr-CH"/>
        </w:rPr>
        <w:t>d</w:t>
      </w:r>
      <w:proofErr w:type="gramEnd"/>
      <w:r w:rsidR="00696BE8" w:rsidRPr="00602C61">
        <w:rPr>
          <w:rFonts w:eastAsia="Calibri"/>
          <w:lang w:val="fr-CH"/>
        </w:rPr>
        <w:t xml:space="preserve"> LCPD).</w:t>
      </w:r>
      <w:r w:rsidR="00D520CA" w:rsidRPr="00602C61">
        <w:rPr>
          <w:rFonts w:eastAsia="Calibri"/>
          <w:lang w:val="fr-CH"/>
        </w:rPr>
        <w:t xml:space="preserve"> </w:t>
      </w:r>
      <w:r w:rsidR="00696BE8" w:rsidRPr="00602C61">
        <w:rPr>
          <w:rFonts w:eastAsia="Calibri"/>
          <w:lang w:val="fr-CH"/>
        </w:rPr>
        <w:t xml:space="preserve">L’article 10 de l’ordonnance-type </w:t>
      </w:r>
      <w:r w:rsidR="004B0120">
        <w:rPr>
          <w:rFonts w:eastAsia="Calibri"/>
          <w:lang w:val="fr-CH"/>
        </w:rPr>
        <w:t>vient</w:t>
      </w:r>
      <w:r w:rsidR="00696BE8" w:rsidRPr="00602C61">
        <w:rPr>
          <w:rFonts w:eastAsia="Calibri"/>
          <w:lang w:val="fr-CH"/>
        </w:rPr>
        <w:t xml:space="preserve"> compléter l’article 34, alinéa 2 LCPD. </w:t>
      </w:r>
    </w:p>
    <w:p w:rsidR="00F1581D" w:rsidRPr="00602C61" w:rsidRDefault="00F1581D">
      <w:pPr>
        <w:rPr>
          <w:b/>
          <w:szCs w:val="22"/>
          <w:lang w:val="fr-CH"/>
        </w:rPr>
      </w:pPr>
    </w:p>
    <w:p w:rsidR="00F1581D" w:rsidRPr="00602C61" w:rsidRDefault="00F1581D">
      <w:pPr>
        <w:rPr>
          <w:b/>
          <w:szCs w:val="22"/>
          <w:lang w:val="fr-CH"/>
        </w:rPr>
      </w:pPr>
    </w:p>
    <w:p w:rsidR="00D5415D" w:rsidRPr="00602C61" w:rsidRDefault="005543AB" w:rsidP="00535B92">
      <w:pPr>
        <w:rPr>
          <w:b/>
          <w:szCs w:val="22"/>
          <w:lang w:val="fr-CH"/>
        </w:rPr>
      </w:pPr>
      <w:r w:rsidRPr="00602C61">
        <w:rPr>
          <w:b/>
          <w:kern w:val="28"/>
          <w:szCs w:val="22"/>
          <w:lang w:val="fr-CH"/>
        </w:rPr>
        <w:t>Remarques concernant la communication sur Internet et au moyen de services assimilables à Internet d’informations qui sont accessibles au public et qui contiennent des données personnelles</w:t>
      </w:r>
    </w:p>
    <w:p w:rsidR="00D5415D" w:rsidRPr="00602C61" w:rsidRDefault="00D5415D" w:rsidP="00401541">
      <w:pPr>
        <w:rPr>
          <w:b/>
          <w:szCs w:val="22"/>
          <w:lang w:val="fr-CH"/>
        </w:rPr>
      </w:pPr>
    </w:p>
    <w:p w:rsidR="00E7155E" w:rsidRPr="00602C61" w:rsidRDefault="00DA20D4" w:rsidP="00401541">
      <w:pPr>
        <w:rPr>
          <w:b/>
          <w:szCs w:val="22"/>
          <w:lang w:val="fr-CH"/>
        </w:rPr>
      </w:pPr>
      <w:r w:rsidRPr="00602C61">
        <w:rPr>
          <w:b/>
          <w:szCs w:val="22"/>
          <w:lang w:val="fr-CH"/>
        </w:rPr>
        <w:t>Art. 1</w:t>
      </w:r>
      <w:r w:rsidR="00E62A2B" w:rsidRPr="00602C61">
        <w:rPr>
          <w:b/>
          <w:szCs w:val="22"/>
          <w:lang w:val="fr-CH"/>
        </w:rPr>
        <w:t>1</w:t>
      </w:r>
    </w:p>
    <w:p w:rsidR="0095331B" w:rsidRPr="00602C61" w:rsidRDefault="005543AB" w:rsidP="0096775F">
      <w:pPr>
        <w:rPr>
          <w:lang w:val="fr-CH"/>
        </w:rPr>
      </w:pPr>
      <w:r w:rsidRPr="00602C61">
        <w:rPr>
          <w:lang w:val="fr-CH"/>
        </w:rPr>
        <w:t>Dans cet article, la collectivité de droit communal désigne le service compétent pour publier les informations (p. ex. le conseil communal).</w:t>
      </w:r>
    </w:p>
    <w:p w:rsidR="005543AB" w:rsidRPr="00602C61" w:rsidRDefault="005543AB" w:rsidP="0096775F">
      <w:pPr>
        <w:rPr>
          <w:lang w:val="fr-CH"/>
        </w:rPr>
      </w:pPr>
    </w:p>
    <w:p w:rsidR="00E7155E" w:rsidRPr="00602C61" w:rsidRDefault="00E7155E" w:rsidP="0096775F">
      <w:pPr>
        <w:rPr>
          <w:lang w:val="fr-CH"/>
        </w:rPr>
      </w:pPr>
    </w:p>
    <w:p w:rsidR="00457A92" w:rsidRPr="00602C61" w:rsidRDefault="0095331B" w:rsidP="0096775F">
      <w:pPr>
        <w:rPr>
          <w:b/>
          <w:lang w:val="fr-CH"/>
        </w:rPr>
      </w:pPr>
      <w:r w:rsidRPr="00602C61">
        <w:rPr>
          <w:b/>
          <w:lang w:val="fr-CH"/>
        </w:rPr>
        <w:t xml:space="preserve">Art. </w:t>
      </w:r>
      <w:r w:rsidR="00DA20D4" w:rsidRPr="00602C61">
        <w:rPr>
          <w:b/>
          <w:lang w:val="fr-CH"/>
        </w:rPr>
        <w:t>1</w:t>
      </w:r>
      <w:r w:rsidR="00E62A2B" w:rsidRPr="00602C61">
        <w:rPr>
          <w:b/>
          <w:lang w:val="fr-CH"/>
        </w:rPr>
        <w:t>2</w:t>
      </w:r>
      <w:r w:rsidR="00457A92" w:rsidRPr="00602C61">
        <w:rPr>
          <w:lang w:val="fr-CH"/>
        </w:rPr>
        <w:br/>
      </w:r>
      <w:r w:rsidR="005543AB" w:rsidRPr="00602C61">
        <w:rPr>
          <w:lang w:val="fr-CH"/>
        </w:rPr>
        <w:t>Au cas où le respect de l’une des conditions énumérées à l’alinéa 1 ne peut être garanti, il convient de s’abstenir de toute publication.</w:t>
      </w:r>
    </w:p>
    <w:p w:rsidR="005F0ECB" w:rsidRPr="00602C61" w:rsidRDefault="005543AB" w:rsidP="0096775F">
      <w:pPr>
        <w:rPr>
          <w:lang w:val="fr-CH"/>
        </w:rPr>
      </w:pPr>
      <w:r w:rsidRPr="00602C61">
        <w:rPr>
          <w:lang w:val="fr-CH"/>
        </w:rPr>
        <w:t>Il peut être question d’un</w:t>
      </w:r>
      <w:proofErr w:type="gramStart"/>
      <w:r w:rsidRPr="00602C61">
        <w:rPr>
          <w:lang w:val="fr-CH"/>
        </w:rPr>
        <w:t xml:space="preserve"> «risque</w:t>
      </w:r>
      <w:proofErr w:type="gramEnd"/>
      <w:r w:rsidRPr="00602C61">
        <w:rPr>
          <w:lang w:val="fr-CH"/>
        </w:rPr>
        <w:t xml:space="preserve"> particulier», tel qu’il est évoqué à l’alinéa 1, lettre </w:t>
      </w:r>
      <w:r w:rsidRPr="00602C61">
        <w:rPr>
          <w:i/>
          <w:lang w:val="fr-CH"/>
        </w:rPr>
        <w:t>c</w:t>
      </w:r>
      <w:r w:rsidRPr="00602C61">
        <w:rPr>
          <w:lang w:val="fr-CH"/>
        </w:rPr>
        <w:t>, lorsque</w:t>
      </w:r>
      <w:r w:rsidR="00457A92" w:rsidRPr="00602C61">
        <w:rPr>
          <w:lang w:val="fr-CH"/>
        </w:rPr>
        <w:t xml:space="preserve"> </w:t>
      </w:r>
    </w:p>
    <w:p w:rsidR="00A13E9E" w:rsidRPr="00602C61" w:rsidRDefault="000903B6" w:rsidP="00E801D9">
      <w:pPr>
        <w:numPr>
          <w:ilvl w:val="0"/>
          <w:numId w:val="20"/>
        </w:numPr>
        <w:rPr>
          <w:szCs w:val="22"/>
          <w:u w:val="single"/>
          <w:lang w:val="fr-CH"/>
        </w:rPr>
      </w:pPr>
      <w:proofErr w:type="gramStart"/>
      <w:r w:rsidRPr="00602C61">
        <w:rPr>
          <w:lang w:val="fr-CH"/>
        </w:rPr>
        <w:t>quelqu’un</w:t>
      </w:r>
      <w:proofErr w:type="gramEnd"/>
      <w:r w:rsidRPr="00602C61">
        <w:rPr>
          <w:lang w:val="fr-CH"/>
        </w:rPr>
        <w:t xml:space="preserve"> est recherché ou poursuivi à l’étranger; </w:t>
      </w:r>
    </w:p>
    <w:p w:rsidR="00E801D9" w:rsidRPr="00602C61" w:rsidRDefault="000903B6" w:rsidP="000903B6">
      <w:pPr>
        <w:numPr>
          <w:ilvl w:val="0"/>
          <w:numId w:val="20"/>
        </w:numPr>
        <w:rPr>
          <w:szCs w:val="22"/>
          <w:u w:val="single"/>
          <w:lang w:val="fr-CH"/>
        </w:rPr>
      </w:pPr>
      <w:proofErr w:type="gramStart"/>
      <w:r w:rsidRPr="00602C61">
        <w:rPr>
          <w:lang w:val="fr-CH"/>
        </w:rPr>
        <w:t>quelqu’un</w:t>
      </w:r>
      <w:proofErr w:type="gramEnd"/>
      <w:r w:rsidRPr="00602C61">
        <w:rPr>
          <w:lang w:val="fr-CH"/>
        </w:rPr>
        <w:t xml:space="preserve">, du fait de la communication des données, pourrait être poursuivi à l’étranger ou lorsque </w:t>
      </w:r>
    </w:p>
    <w:p w:rsidR="00E801D9" w:rsidRPr="00602C61" w:rsidRDefault="000903B6" w:rsidP="000903B6">
      <w:pPr>
        <w:numPr>
          <w:ilvl w:val="0"/>
          <w:numId w:val="20"/>
        </w:numPr>
        <w:rPr>
          <w:szCs w:val="22"/>
          <w:u w:val="single"/>
          <w:lang w:val="fr-CH"/>
        </w:rPr>
      </w:pPr>
      <w:proofErr w:type="gramStart"/>
      <w:r w:rsidRPr="00602C61">
        <w:rPr>
          <w:lang w:val="fr-CH"/>
        </w:rPr>
        <w:t>un</w:t>
      </w:r>
      <w:proofErr w:type="gramEnd"/>
      <w:r w:rsidRPr="00602C61">
        <w:rPr>
          <w:lang w:val="fr-CH"/>
        </w:rPr>
        <w:t xml:space="preserve"> Etat étranger réagit à une naturalisation d’une personne en lui retirant sa nationalité.</w:t>
      </w:r>
    </w:p>
    <w:p w:rsidR="001753FE" w:rsidRPr="00602C61" w:rsidRDefault="001753FE" w:rsidP="0096775F">
      <w:pPr>
        <w:rPr>
          <w:b/>
          <w:lang w:val="fr-CH"/>
        </w:rPr>
      </w:pPr>
    </w:p>
    <w:p w:rsidR="0095331B" w:rsidRPr="00602C61" w:rsidRDefault="0095331B" w:rsidP="0096775F">
      <w:pPr>
        <w:rPr>
          <w:b/>
          <w:lang w:val="fr-CH"/>
        </w:rPr>
      </w:pPr>
      <w:r w:rsidRPr="00602C61">
        <w:rPr>
          <w:b/>
          <w:lang w:val="fr-CH"/>
        </w:rPr>
        <w:t xml:space="preserve">Art. </w:t>
      </w:r>
      <w:r w:rsidR="00DA20D4" w:rsidRPr="00602C61">
        <w:rPr>
          <w:b/>
          <w:lang w:val="fr-CH"/>
        </w:rPr>
        <w:t>1</w:t>
      </w:r>
      <w:r w:rsidR="00E62A2B" w:rsidRPr="00602C61">
        <w:rPr>
          <w:b/>
          <w:lang w:val="fr-CH"/>
        </w:rPr>
        <w:t>5</w:t>
      </w:r>
    </w:p>
    <w:p w:rsidR="00CE56D1" w:rsidRPr="00602C61" w:rsidRDefault="00E20A53" w:rsidP="00CE56D1">
      <w:pPr>
        <w:overflowPunct/>
        <w:textAlignment w:val="auto"/>
        <w:rPr>
          <w:rFonts w:cs="Arial"/>
          <w:szCs w:val="22"/>
          <w:lang w:val="fr-CH"/>
        </w:rPr>
      </w:pPr>
      <w:r w:rsidRPr="00602C61">
        <w:rPr>
          <w:rFonts w:cs="Arial"/>
          <w:szCs w:val="22"/>
          <w:lang w:val="fr-CH"/>
        </w:rPr>
        <w:t xml:space="preserve">Le traitement technique prescrit à l’alinéa 1 doit être effectué au moyen du protocole d’exclusion des robots, qui porte sur l’indexation par les robots. L’administrateur de site doit établir à cet </w:t>
      </w:r>
      <w:r w:rsidRPr="00602C61">
        <w:rPr>
          <w:rFonts w:cs="Arial"/>
          <w:szCs w:val="22"/>
          <w:lang w:val="fr-CH"/>
        </w:rPr>
        <w:lastRenderedPageBreak/>
        <w:t>égard un fichier nommé 'robots.txt', qui énumère, dans un format précis, les domaines présents sur Internet qui ne doivent pas être indexés par un ou plusieurs moteurs de recherche.</w:t>
      </w:r>
    </w:p>
    <w:p w:rsidR="005F0ECB" w:rsidRPr="00602C61" w:rsidRDefault="00E20A53" w:rsidP="00CE56D1">
      <w:pPr>
        <w:overflowPunct/>
        <w:textAlignment w:val="auto"/>
        <w:rPr>
          <w:rFonts w:cs="Arial"/>
          <w:szCs w:val="22"/>
          <w:lang w:val="fr-CH"/>
        </w:rPr>
      </w:pPr>
      <w:r w:rsidRPr="00602C61">
        <w:rPr>
          <w:rFonts w:cs="Arial"/>
          <w:szCs w:val="22"/>
          <w:lang w:val="fr-CH"/>
        </w:rPr>
        <w:t>L’idée de dissuader les moteurs de recherche d’indexer certains éléments, telle qu’elle est formulée, correspond à une pratique courante.</w:t>
      </w:r>
    </w:p>
    <w:p w:rsidR="00457A92" w:rsidRPr="00602C61" w:rsidRDefault="00E20A53" w:rsidP="0096775F">
      <w:pPr>
        <w:rPr>
          <w:rFonts w:cs="Arial"/>
          <w:sz w:val="20"/>
          <w:lang w:val="fr-CH"/>
        </w:rPr>
      </w:pPr>
      <w:r w:rsidRPr="00602C61">
        <w:rPr>
          <w:rFonts w:cs="Arial"/>
          <w:szCs w:val="22"/>
          <w:lang w:val="fr-CH"/>
        </w:rPr>
        <w:t xml:space="preserve">Pour d’autres informations d’ordre technique, consulter le site </w:t>
      </w:r>
      <w:hyperlink r:id="rId11" w:history="1">
        <w:r w:rsidRPr="00602C61">
          <w:rPr>
            <w:rStyle w:val="Lienhypertexte"/>
            <w:rFonts w:cs="Arial"/>
            <w:szCs w:val="22"/>
            <w:lang w:val="fr-CH"/>
          </w:rPr>
          <w:t>http://fr.wikipedia.org/wiki/Robots.txt</w:t>
        </w:r>
      </w:hyperlink>
      <w:r w:rsidRPr="00602C61">
        <w:rPr>
          <w:rFonts w:cs="Arial"/>
          <w:szCs w:val="22"/>
          <w:lang w:val="fr-CH"/>
        </w:rPr>
        <w:t>.</w:t>
      </w:r>
      <w:r w:rsidR="00F1343E" w:rsidRPr="00602C61">
        <w:rPr>
          <w:rFonts w:cs="Arial"/>
          <w:sz w:val="20"/>
          <w:lang w:val="fr-CH"/>
        </w:rPr>
        <w:t xml:space="preserve">  </w:t>
      </w:r>
    </w:p>
    <w:sectPr w:rsidR="00457A92" w:rsidRPr="00602C61">
      <w:pgSz w:w="11907" w:h="16840" w:code="9"/>
      <w:pgMar w:top="397" w:right="794" w:bottom="1134" w:left="1588"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17" w:rsidRDefault="009C2B17">
      <w:r>
        <w:separator/>
      </w:r>
    </w:p>
  </w:endnote>
  <w:endnote w:type="continuationSeparator" w:id="0">
    <w:p w:rsidR="009C2B17" w:rsidRDefault="009C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FA" w:rsidRDefault="003605FA">
    <w:pPr>
      <w:pStyle w:val="Pieddepage"/>
    </w:pPr>
    <w:r>
      <w:rPr>
        <w:sz w:val="16"/>
      </w:rPr>
      <w:tab/>
    </w: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sidR="00CA6F5B">
      <w:rPr>
        <w:rStyle w:val="Numrodepage"/>
        <w:noProof/>
      </w:rPr>
      <w:t>11</w:t>
    </w:r>
    <w:r>
      <w:rPr>
        <w:rStyle w:val="Numrodepage"/>
      </w:rPr>
      <w:fldChar w:fldCharType="end"/>
    </w:r>
    <w:r>
      <w:rPr>
        <w:rStyle w:val="Numrodepage"/>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FA" w:rsidRDefault="003605FA">
    <w:pPr>
      <w:pStyle w:val="Pieddepage"/>
      <w:rPr>
        <w:sz w:val="16"/>
      </w:rPr>
    </w:pPr>
  </w:p>
  <w:p w:rsidR="003605FA" w:rsidRPr="009C28A8" w:rsidRDefault="009C28A8" w:rsidP="00BE3B05">
    <w:pPr>
      <w:pStyle w:val="Pieddepage"/>
      <w:rPr>
        <w:sz w:val="16"/>
        <w:lang w:val="fr-CH"/>
      </w:rPr>
    </w:pPr>
    <w:r w:rsidRPr="009C28A8">
      <w:rPr>
        <w:sz w:val="16"/>
        <w:szCs w:val="16"/>
        <w:lang w:val="fr-CH"/>
      </w:rPr>
      <w:t>Ordonnance complétant le droit cantonal en matière de protection des données</w:t>
    </w:r>
    <w:r w:rsidRPr="009C28A8">
      <w:rPr>
        <w:b/>
        <w:sz w:val="16"/>
        <w:szCs w:val="16"/>
        <w:lang w:val="fr-CH"/>
      </w:rPr>
      <w:t xml:space="preserve"> </w:t>
    </w:r>
    <w:r w:rsidRPr="009C28A8">
      <w:rPr>
        <w:sz w:val="16"/>
        <w:szCs w:val="16"/>
        <w:lang w:val="fr-CH"/>
      </w:rPr>
      <w:t>et concernant la communication sur Internet d’informations à caractère 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17" w:rsidRDefault="009C2B17">
      <w:r>
        <w:separator/>
      </w:r>
    </w:p>
  </w:footnote>
  <w:footnote w:type="continuationSeparator" w:id="0">
    <w:p w:rsidR="009C2B17" w:rsidRDefault="009C2B17">
      <w:r>
        <w:continuationSeparator/>
      </w:r>
    </w:p>
  </w:footnote>
  <w:footnote w:id="1">
    <w:p w:rsidR="003605FA" w:rsidRDefault="003605FA">
      <w:pPr>
        <w:pStyle w:val="Notedebasdepage"/>
      </w:pPr>
      <w:r>
        <w:rPr>
          <w:rStyle w:val="Appelnotedebasdep"/>
        </w:rPr>
        <w:footnoteRef/>
      </w:r>
      <w:r>
        <w:t xml:space="preserve"> </w:t>
      </w:r>
      <w:r w:rsidR="00217A40" w:rsidRPr="00217A40">
        <w:t>https://www.rr.be.ch/rr/fr/index/rrbonline/rrbonline/suche_rrb/beschluesse-detailseite.gid-ae920b457d4445a69b6cca6fbfaabd1d.html</w:t>
      </w:r>
      <w:r w:rsidR="005F180F">
        <w:t>.</w:t>
      </w:r>
    </w:p>
  </w:footnote>
  <w:footnote w:id="2">
    <w:p w:rsidR="003605FA" w:rsidRPr="00E02DB8" w:rsidRDefault="003605FA" w:rsidP="00F1581D">
      <w:pPr>
        <w:pStyle w:val="Notedebasdepage"/>
        <w:rPr>
          <w:lang w:val="fr-CH"/>
        </w:rPr>
      </w:pPr>
      <w:r w:rsidRPr="00736192">
        <w:rPr>
          <w:rStyle w:val="Appelnotedebasdep"/>
          <w:szCs w:val="16"/>
        </w:rPr>
        <w:footnoteRef/>
      </w:r>
      <w:r w:rsidRPr="00C72380">
        <w:rPr>
          <w:lang w:val="fr-CH"/>
        </w:rPr>
        <w:t xml:space="preserve"> </w:t>
      </w:r>
      <w:r w:rsidR="00C72380" w:rsidRPr="00C72380">
        <w:rPr>
          <w:lang w:val="fr-CH"/>
        </w:rPr>
        <w:t xml:space="preserve">On peut tout au plus considérer que l’article 24, alinéa 2 LCPD va </w:t>
      </w:r>
      <w:r w:rsidR="00C72380">
        <w:rPr>
          <w:lang w:val="fr-CH"/>
        </w:rPr>
        <w:t xml:space="preserve">dans le même </w:t>
      </w:r>
      <w:r w:rsidR="00C72380" w:rsidRPr="00C72380">
        <w:rPr>
          <w:lang w:val="fr-CH"/>
        </w:rPr>
        <w:t xml:space="preserve">sens. Toutefois, la communication n’intervient qu’à la demande de la personne concernée.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FA" w:rsidRPr="008330B8" w:rsidRDefault="008330B8">
    <w:pPr>
      <w:pStyle w:val="En-tte"/>
      <w:pBdr>
        <w:bottom w:val="single" w:sz="6" w:space="6" w:color="auto"/>
      </w:pBdr>
      <w:spacing w:after="360"/>
      <w:jc w:val="center"/>
      <w:rPr>
        <w:i/>
        <w:sz w:val="20"/>
        <w:lang w:val="de-CH"/>
      </w:rPr>
    </w:pPr>
    <w:proofErr w:type="spellStart"/>
    <w:r w:rsidRPr="008330B8">
      <w:rPr>
        <w:i/>
        <w:lang w:val="de-CH"/>
      </w:rPr>
      <w:t>Collectivité</w:t>
    </w:r>
    <w:proofErr w:type="spellEnd"/>
    <w:r w:rsidR="003605FA" w:rsidRPr="008330B8">
      <w:rPr>
        <w:i/>
        <w:lang w:val="de-CH"/>
      </w:rPr>
      <w:t xml:space="preserve"> 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10CC"/>
    <w:multiLevelType w:val="singleLevel"/>
    <w:tmpl w:val="7DB06E62"/>
    <w:lvl w:ilvl="0">
      <w:start w:val="1"/>
      <w:numFmt w:val="lowerLetter"/>
      <w:lvlText w:val="%1)"/>
      <w:legacy w:legacy="1" w:legacySpace="0" w:legacyIndent="283"/>
      <w:lvlJc w:val="left"/>
      <w:pPr>
        <w:ind w:left="355" w:hanging="283"/>
      </w:pPr>
    </w:lvl>
  </w:abstractNum>
  <w:abstractNum w:abstractNumId="1" w15:restartNumberingAfterBreak="0">
    <w:nsid w:val="0BA039E2"/>
    <w:multiLevelType w:val="hybridMultilevel"/>
    <w:tmpl w:val="C048432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DB040A"/>
    <w:multiLevelType w:val="multilevel"/>
    <w:tmpl w:val="29CE1334"/>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3" w15:restartNumberingAfterBreak="0">
    <w:nsid w:val="187E4221"/>
    <w:multiLevelType w:val="hybridMultilevel"/>
    <w:tmpl w:val="5B5E8BE4"/>
    <w:lvl w:ilvl="0" w:tplc="08070001">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152"/>
        </w:tabs>
        <w:ind w:left="1152" w:hanging="360"/>
      </w:pPr>
      <w:rPr>
        <w:rFonts w:ascii="Courier New" w:hAnsi="Courier New" w:cs="Courier New" w:hint="default"/>
      </w:rPr>
    </w:lvl>
    <w:lvl w:ilvl="2" w:tplc="08070005" w:tentative="1">
      <w:start w:val="1"/>
      <w:numFmt w:val="bullet"/>
      <w:lvlText w:val=""/>
      <w:lvlJc w:val="left"/>
      <w:pPr>
        <w:tabs>
          <w:tab w:val="num" w:pos="1872"/>
        </w:tabs>
        <w:ind w:left="1872" w:hanging="360"/>
      </w:pPr>
      <w:rPr>
        <w:rFonts w:ascii="Wingdings" w:hAnsi="Wingdings" w:hint="default"/>
      </w:rPr>
    </w:lvl>
    <w:lvl w:ilvl="3" w:tplc="08070001" w:tentative="1">
      <w:start w:val="1"/>
      <w:numFmt w:val="bullet"/>
      <w:lvlText w:val=""/>
      <w:lvlJc w:val="left"/>
      <w:pPr>
        <w:tabs>
          <w:tab w:val="num" w:pos="2592"/>
        </w:tabs>
        <w:ind w:left="2592" w:hanging="360"/>
      </w:pPr>
      <w:rPr>
        <w:rFonts w:ascii="Symbol" w:hAnsi="Symbol" w:hint="default"/>
      </w:rPr>
    </w:lvl>
    <w:lvl w:ilvl="4" w:tplc="08070003" w:tentative="1">
      <w:start w:val="1"/>
      <w:numFmt w:val="bullet"/>
      <w:lvlText w:val="o"/>
      <w:lvlJc w:val="left"/>
      <w:pPr>
        <w:tabs>
          <w:tab w:val="num" w:pos="3312"/>
        </w:tabs>
        <w:ind w:left="3312" w:hanging="360"/>
      </w:pPr>
      <w:rPr>
        <w:rFonts w:ascii="Courier New" w:hAnsi="Courier New" w:cs="Courier New" w:hint="default"/>
      </w:rPr>
    </w:lvl>
    <w:lvl w:ilvl="5" w:tplc="08070005" w:tentative="1">
      <w:start w:val="1"/>
      <w:numFmt w:val="bullet"/>
      <w:lvlText w:val=""/>
      <w:lvlJc w:val="left"/>
      <w:pPr>
        <w:tabs>
          <w:tab w:val="num" w:pos="4032"/>
        </w:tabs>
        <w:ind w:left="4032" w:hanging="360"/>
      </w:pPr>
      <w:rPr>
        <w:rFonts w:ascii="Wingdings" w:hAnsi="Wingdings" w:hint="default"/>
      </w:rPr>
    </w:lvl>
    <w:lvl w:ilvl="6" w:tplc="08070001" w:tentative="1">
      <w:start w:val="1"/>
      <w:numFmt w:val="bullet"/>
      <w:lvlText w:val=""/>
      <w:lvlJc w:val="left"/>
      <w:pPr>
        <w:tabs>
          <w:tab w:val="num" w:pos="4752"/>
        </w:tabs>
        <w:ind w:left="4752" w:hanging="360"/>
      </w:pPr>
      <w:rPr>
        <w:rFonts w:ascii="Symbol" w:hAnsi="Symbol" w:hint="default"/>
      </w:rPr>
    </w:lvl>
    <w:lvl w:ilvl="7" w:tplc="08070003" w:tentative="1">
      <w:start w:val="1"/>
      <w:numFmt w:val="bullet"/>
      <w:lvlText w:val="o"/>
      <w:lvlJc w:val="left"/>
      <w:pPr>
        <w:tabs>
          <w:tab w:val="num" w:pos="5472"/>
        </w:tabs>
        <w:ind w:left="5472" w:hanging="360"/>
      </w:pPr>
      <w:rPr>
        <w:rFonts w:ascii="Courier New" w:hAnsi="Courier New" w:cs="Courier New" w:hint="default"/>
      </w:rPr>
    </w:lvl>
    <w:lvl w:ilvl="8" w:tplc="0807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1DCC6451"/>
    <w:multiLevelType w:val="hybridMultilevel"/>
    <w:tmpl w:val="61324942"/>
    <w:lvl w:ilvl="0" w:tplc="21066A36">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152"/>
        </w:tabs>
        <w:ind w:left="1152" w:hanging="360"/>
      </w:pPr>
      <w:rPr>
        <w:rFonts w:ascii="Courier New" w:hAnsi="Courier New" w:cs="Courier New" w:hint="default"/>
      </w:rPr>
    </w:lvl>
    <w:lvl w:ilvl="2" w:tplc="08070005" w:tentative="1">
      <w:start w:val="1"/>
      <w:numFmt w:val="bullet"/>
      <w:lvlText w:val=""/>
      <w:lvlJc w:val="left"/>
      <w:pPr>
        <w:tabs>
          <w:tab w:val="num" w:pos="1872"/>
        </w:tabs>
        <w:ind w:left="1872" w:hanging="360"/>
      </w:pPr>
      <w:rPr>
        <w:rFonts w:ascii="Wingdings" w:hAnsi="Wingdings" w:hint="default"/>
      </w:rPr>
    </w:lvl>
    <w:lvl w:ilvl="3" w:tplc="08070001" w:tentative="1">
      <w:start w:val="1"/>
      <w:numFmt w:val="bullet"/>
      <w:lvlText w:val=""/>
      <w:lvlJc w:val="left"/>
      <w:pPr>
        <w:tabs>
          <w:tab w:val="num" w:pos="2592"/>
        </w:tabs>
        <w:ind w:left="2592" w:hanging="360"/>
      </w:pPr>
      <w:rPr>
        <w:rFonts w:ascii="Symbol" w:hAnsi="Symbol" w:hint="default"/>
      </w:rPr>
    </w:lvl>
    <w:lvl w:ilvl="4" w:tplc="08070003" w:tentative="1">
      <w:start w:val="1"/>
      <w:numFmt w:val="bullet"/>
      <w:lvlText w:val="o"/>
      <w:lvlJc w:val="left"/>
      <w:pPr>
        <w:tabs>
          <w:tab w:val="num" w:pos="3312"/>
        </w:tabs>
        <w:ind w:left="3312" w:hanging="360"/>
      </w:pPr>
      <w:rPr>
        <w:rFonts w:ascii="Courier New" w:hAnsi="Courier New" w:cs="Courier New" w:hint="default"/>
      </w:rPr>
    </w:lvl>
    <w:lvl w:ilvl="5" w:tplc="08070005" w:tentative="1">
      <w:start w:val="1"/>
      <w:numFmt w:val="bullet"/>
      <w:lvlText w:val=""/>
      <w:lvlJc w:val="left"/>
      <w:pPr>
        <w:tabs>
          <w:tab w:val="num" w:pos="4032"/>
        </w:tabs>
        <w:ind w:left="4032" w:hanging="360"/>
      </w:pPr>
      <w:rPr>
        <w:rFonts w:ascii="Wingdings" w:hAnsi="Wingdings" w:hint="default"/>
      </w:rPr>
    </w:lvl>
    <w:lvl w:ilvl="6" w:tplc="08070001" w:tentative="1">
      <w:start w:val="1"/>
      <w:numFmt w:val="bullet"/>
      <w:lvlText w:val=""/>
      <w:lvlJc w:val="left"/>
      <w:pPr>
        <w:tabs>
          <w:tab w:val="num" w:pos="4752"/>
        </w:tabs>
        <w:ind w:left="4752" w:hanging="360"/>
      </w:pPr>
      <w:rPr>
        <w:rFonts w:ascii="Symbol" w:hAnsi="Symbol" w:hint="default"/>
      </w:rPr>
    </w:lvl>
    <w:lvl w:ilvl="7" w:tplc="08070003" w:tentative="1">
      <w:start w:val="1"/>
      <w:numFmt w:val="bullet"/>
      <w:lvlText w:val="o"/>
      <w:lvlJc w:val="left"/>
      <w:pPr>
        <w:tabs>
          <w:tab w:val="num" w:pos="5472"/>
        </w:tabs>
        <w:ind w:left="5472" w:hanging="360"/>
      </w:pPr>
      <w:rPr>
        <w:rFonts w:ascii="Courier New" w:hAnsi="Courier New" w:cs="Courier New" w:hint="default"/>
      </w:rPr>
    </w:lvl>
    <w:lvl w:ilvl="8" w:tplc="08070005" w:tentative="1">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1E7E0C7C"/>
    <w:multiLevelType w:val="hybridMultilevel"/>
    <w:tmpl w:val="7E7A7F64"/>
    <w:lvl w:ilvl="0" w:tplc="21066A36">
      <w:start w:val="1"/>
      <w:numFmt w:val="bullet"/>
      <w:lvlText w:val=""/>
      <w:lvlJc w:val="left"/>
      <w:pPr>
        <w:tabs>
          <w:tab w:val="num" w:pos="504"/>
        </w:tabs>
        <w:ind w:left="504" w:hanging="360"/>
      </w:pPr>
      <w:rPr>
        <w:rFonts w:ascii="Symbol" w:hAnsi="Symbol" w:hint="default"/>
      </w:rPr>
    </w:lvl>
    <w:lvl w:ilvl="1" w:tplc="08070003" w:tentative="1">
      <w:start w:val="1"/>
      <w:numFmt w:val="bullet"/>
      <w:lvlText w:val="o"/>
      <w:lvlJc w:val="left"/>
      <w:pPr>
        <w:tabs>
          <w:tab w:val="num" w:pos="1512"/>
        </w:tabs>
        <w:ind w:left="1512" w:hanging="360"/>
      </w:pPr>
      <w:rPr>
        <w:rFonts w:ascii="Courier New" w:hAnsi="Courier New" w:cs="Courier New" w:hint="default"/>
      </w:rPr>
    </w:lvl>
    <w:lvl w:ilvl="2" w:tplc="08070005" w:tentative="1">
      <w:start w:val="1"/>
      <w:numFmt w:val="bullet"/>
      <w:lvlText w:val=""/>
      <w:lvlJc w:val="left"/>
      <w:pPr>
        <w:tabs>
          <w:tab w:val="num" w:pos="2232"/>
        </w:tabs>
        <w:ind w:left="2232" w:hanging="360"/>
      </w:pPr>
      <w:rPr>
        <w:rFonts w:ascii="Wingdings" w:hAnsi="Wingdings" w:hint="default"/>
      </w:rPr>
    </w:lvl>
    <w:lvl w:ilvl="3" w:tplc="08070001" w:tentative="1">
      <w:start w:val="1"/>
      <w:numFmt w:val="bullet"/>
      <w:lvlText w:val=""/>
      <w:lvlJc w:val="left"/>
      <w:pPr>
        <w:tabs>
          <w:tab w:val="num" w:pos="2952"/>
        </w:tabs>
        <w:ind w:left="2952" w:hanging="360"/>
      </w:pPr>
      <w:rPr>
        <w:rFonts w:ascii="Symbol" w:hAnsi="Symbol" w:hint="default"/>
      </w:rPr>
    </w:lvl>
    <w:lvl w:ilvl="4" w:tplc="08070003" w:tentative="1">
      <w:start w:val="1"/>
      <w:numFmt w:val="bullet"/>
      <w:lvlText w:val="o"/>
      <w:lvlJc w:val="left"/>
      <w:pPr>
        <w:tabs>
          <w:tab w:val="num" w:pos="3672"/>
        </w:tabs>
        <w:ind w:left="3672" w:hanging="360"/>
      </w:pPr>
      <w:rPr>
        <w:rFonts w:ascii="Courier New" w:hAnsi="Courier New" w:cs="Courier New" w:hint="default"/>
      </w:rPr>
    </w:lvl>
    <w:lvl w:ilvl="5" w:tplc="08070005" w:tentative="1">
      <w:start w:val="1"/>
      <w:numFmt w:val="bullet"/>
      <w:lvlText w:val=""/>
      <w:lvlJc w:val="left"/>
      <w:pPr>
        <w:tabs>
          <w:tab w:val="num" w:pos="4392"/>
        </w:tabs>
        <w:ind w:left="4392" w:hanging="360"/>
      </w:pPr>
      <w:rPr>
        <w:rFonts w:ascii="Wingdings" w:hAnsi="Wingdings" w:hint="default"/>
      </w:rPr>
    </w:lvl>
    <w:lvl w:ilvl="6" w:tplc="08070001" w:tentative="1">
      <w:start w:val="1"/>
      <w:numFmt w:val="bullet"/>
      <w:lvlText w:val=""/>
      <w:lvlJc w:val="left"/>
      <w:pPr>
        <w:tabs>
          <w:tab w:val="num" w:pos="5112"/>
        </w:tabs>
        <w:ind w:left="5112" w:hanging="360"/>
      </w:pPr>
      <w:rPr>
        <w:rFonts w:ascii="Symbol" w:hAnsi="Symbol" w:hint="default"/>
      </w:rPr>
    </w:lvl>
    <w:lvl w:ilvl="7" w:tplc="08070003" w:tentative="1">
      <w:start w:val="1"/>
      <w:numFmt w:val="bullet"/>
      <w:lvlText w:val="o"/>
      <w:lvlJc w:val="left"/>
      <w:pPr>
        <w:tabs>
          <w:tab w:val="num" w:pos="5832"/>
        </w:tabs>
        <w:ind w:left="5832" w:hanging="360"/>
      </w:pPr>
      <w:rPr>
        <w:rFonts w:ascii="Courier New" w:hAnsi="Courier New" w:cs="Courier New" w:hint="default"/>
      </w:rPr>
    </w:lvl>
    <w:lvl w:ilvl="8" w:tplc="0807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2497611A"/>
    <w:multiLevelType w:val="hybridMultilevel"/>
    <w:tmpl w:val="CFC8A4CE"/>
    <w:lvl w:ilvl="0" w:tplc="08070001">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152"/>
        </w:tabs>
        <w:ind w:left="1152" w:hanging="360"/>
      </w:pPr>
      <w:rPr>
        <w:rFonts w:ascii="Courier New" w:hAnsi="Courier New" w:cs="Courier New" w:hint="default"/>
      </w:rPr>
    </w:lvl>
    <w:lvl w:ilvl="2" w:tplc="08070005" w:tentative="1">
      <w:start w:val="1"/>
      <w:numFmt w:val="bullet"/>
      <w:lvlText w:val=""/>
      <w:lvlJc w:val="left"/>
      <w:pPr>
        <w:tabs>
          <w:tab w:val="num" w:pos="1872"/>
        </w:tabs>
        <w:ind w:left="1872" w:hanging="360"/>
      </w:pPr>
      <w:rPr>
        <w:rFonts w:ascii="Wingdings" w:hAnsi="Wingdings" w:hint="default"/>
      </w:rPr>
    </w:lvl>
    <w:lvl w:ilvl="3" w:tplc="08070001" w:tentative="1">
      <w:start w:val="1"/>
      <w:numFmt w:val="bullet"/>
      <w:lvlText w:val=""/>
      <w:lvlJc w:val="left"/>
      <w:pPr>
        <w:tabs>
          <w:tab w:val="num" w:pos="2592"/>
        </w:tabs>
        <w:ind w:left="2592" w:hanging="360"/>
      </w:pPr>
      <w:rPr>
        <w:rFonts w:ascii="Symbol" w:hAnsi="Symbol" w:hint="default"/>
      </w:rPr>
    </w:lvl>
    <w:lvl w:ilvl="4" w:tplc="08070003" w:tentative="1">
      <w:start w:val="1"/>
      <w:numFmt w:val="bullet"/>
      <w:lvlText w:val="o"/>
      <w:lvlJc w:val="left"/>
      <w:pPr>
        <w:tabs>
          <w:tab w:val="num" w:pos="3312"/>
        </w:tabs>
        <w:ind w:left="3312" w:hanging="360"/>
      </w:pPr>
      <w:rPr>
        <w:rFonts w:ascii="Courier New" w:hAnsi="Courier New" w:cs="Courier New" w:hint="default"/>
      </w:rPr>
    </w:lvl>
    <w:lvl w:ilvl="5" w:tplc="08070005" w:tentative="1">
      <w:start w:val="1"/>
      <w:numFmt w:val="bullet"/>
      <w:lvlText w:val=""/>
      <w:lvlJc w:val="left"/>
      <w:pPr>
        <w:tabs>
          <w:tab w:val="num" w:pos="4032"/>
        </w:tabs>
        <w:ind w:left="4032" w:hanging="360"/>
      </w:pPr>
      <w:rPr>
        <w:rFonts w:ascii="Wingdings" w:hAnsi="Wingdings" w:hint="default"/>
      </w:rPr>
    </w:lvl>
    <w:lvl w:ilvl="6" w:tplc="08070001" w:tentative="1">
      <w:start w:val="1"/>
      <w:numFmt w:val="bullet"/>
      <w:lvlText w:val=""/>
      <w:lvlJc w:val="left"/>
      <w:pPr>
        <w:tabs>
          <w:tab w:val="num" w:pos="4752"/>
        </w:tabs>
        <w:ind w:left="4752" w:hanging="360"/>
      </w:pPr>
      <w:rPr>
        <w:rFonts w:ascii="Symbol" w:hAnsi="Symbol" w:hint="default"/>
      </w:rPr>
    </w:lvl>
    <w:lvl w:ilvl="7" w:tplc="08070003" w:tentative="1">
      <w:start w:val="1"/>
      <w:numFmt w:val="bullet"/>
      <w:lvlText w:val="o"/>
      <w:lvlJc w:val="left"/>
      <w:pPr>
        <w:tabs>
          <w:tab w:val="num" w:pos="5472"/>
        </w:tabs>
        <w:ind w:left="5472" w:hanging="360"/>
      </w:pPr>
      <w:rPr>
        <w:rFonts w:ascii="Courier New" w:hAnsi="Courier New" w:cs="Courier New" w:hint="default"/>
      </w:rPr>
    </w:lvl>
    <w:lvl w:ilvl="8" w:tplc="0807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271F01B3"/>
    <w:multiLevelType w:val="multilevel"/>
    <w:tmpl w:val="61324942"/>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288A693B"/>
    <w:multiLevelType w:val="hybridMultilevel"/>
    <w:tmpl w:val="29CE1334"/>
    <w:lvl w:ilvl="0" w:tplc="08070001">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152"/>
        </w:tabs>
        <w:ind w:left="1152" w:hanging="360"/>
      </w:pPr>
      <w:rPr>
        <w:rFonts w:ascii="Courier New" w:hAnsi="Courier New" w:cs="Courier New" w:hint="default"/>
      </w:rPr>
    </w:lvl>
    <w:lvl w:ilvl="2" w:tplc="08070005" w:tentative="1">
      <w:start w:val="1"/>
      <w:numFmt w:val="bullet"/>
      <w:lvlText w:val=""/>
      <w:lvlJc w:val="left"/>
      <w:pPr>
        <w:tabs>
          <w:tab w:val="num" w:pos="1872"/>
        </w:tabs>
        <w:ind w:left="1872" w:hanging="360"/>
      </w:pPr>
      <w:rPr>
        <w:rFonts w:ascii="Wingdings" w:hAnsi="Wingdings" w:hint="default"/>
      </w:rPr>
    </w:lvl>
    <w:lvl w:ilvl="3" w:tplc="08070001" w:tentative="1">
      <w:start w:val="1"/>
      <w:numFmt w:val="bullet"/>
      <w:lvlText w:val=""/>
      <w:lvlJc w:val="left"/>
      <w:pPr>
        <w:tabs>
          <w:tab w:val="num" w:pos="2592"/>
        </w:tabs>
        <w:ind w:left="2592" w:hanging="360"/>
      </w:pPr>
      <w:rPr>
        <w:rFonts w:ascii="Symbol" w:hAnsi="Symbol" w:hint="default"/>
      </w:rPr>
    </w:lvl>
    <w:lvl w:ilvl="4" w:tplc="08070003" w:tentative="1">
      <w:start w:val="1"/>
      <w:numFmt w:val="bullet"/>
      <w:lvlText w:val="o"/>
      <w:lvlJc w:val="left"/>
      <w:pPr>
        <w:tabs>
          <w:tab w:val="num" w:pos="3312"/>
        </w:tabs>
        <w:ind w:left="3312" w:hanging="360"/>
      </w:pPr>
      <w:rPr>
        <w:rFonts w:ascii="Courier New" w:hAnsi="Courier New" w:cs="Courier New" w:hint="default"/>
      </w:rPr>
    </w:lvl>
    <w:lvl w:ilvl="5" w:tplc="08070005" w:tentative="1">
      <w:start w:val="1"/>
      <w:numFmt w:val="bullet"/>
      <w:lvlText w:val=""/>
      <w:lvlJc w:val="left"/>
      <w:pPr>
        <w:tabs>
          <w:tab w:val="num" w:pos="4032"/>
        </w:tabs>
        <w:ind w:left="4032" w:hanging="360"/>
      </w:pPr>
      <w:rPr>
        <w:rFonts w:ascii="Wingdings" w:hAnsi="Wingdings" w:hint="default"/>
      </w:rPr>
    </w:lvl>
    <w:lvl w:ilvl="6" w:tplc="08070001" w:tentative="1">
      <w:start w:val="1"/>
      <w:numFmt w:val="bullet"/>
      <w:lvlText w:val=""/>
      <w:lvlJc w:val="left"/>
      <w:pPr>
        <w:tabs>
          <w:tab w:val="num" w:pos="4752"/>
        </w:tabs>
        <w:ind w:left="4752" w:hanging="360"/>
      </w:pPr>
      <w:rPr>
        <w:rFonts w:ascii="Symbol" w:hAnsi="Symbol" w:hint="default"/>
      </w:rPr>
    </w:lvl>
    <w:lvl w:ilvl="7" w:tplc="08070003" w:tentative="1">
      <w:start w:val="1"/>
      <w:numFmt w:val="bullet"/>
      <w:lvlText w:val="o"/>
      <w:lvlJc w:val="left"/>
      <w:pPr>
        <w:tabs>
          <w:tab w:val="num" w:pos="5472"/>
        </w:tabs>
        <w:ind w:left="5472" w:hanging="360"/>
      </w:pPr>
      <w:rPr>
        <w:rFonts w:ascii="Courier New" w:hAnsi="Courier New" w:cs="Courier New" w:hint="default"/>
      </w:rPr>
    </w:lvl>
    <w:lvl w:ilvl="8" w:tplc="08070005" w:tentative="1">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2AE07CEE"/>
    <w:multiLevelType w:val="hybridMultilevel"/>
    <w:tmpl w:val="12F0C884"/>
    <w:lvl w:ilvl="0" w:tplc="36221F28">
      <w:start w:val="3011"/>
      <w:numFmt w:val="bullet"/>
      <w:lvlText w:val="-"/>
      <w:lvlJc w:val="left"/>
      <w:pPr>
        <w:tabs>
          <w:tab w:val="num" w:pos="432"/>
        </w:tabs>
        <w:ind w:left="432" w:hanging="360"/>
      </w:pPr>
      <w:rPr>
        <w:rFonts w:ascii="Arial" w:eastAsia="Times New Roman" w:hAnsi="Arial" w:cs="Arial" w:hint="default"/>
      </w:rPr>
    </w:lvl>
    <w:lvl w:ilvl="1" w:tplc="08070003" w:tentative="1">
      <w:start w:val="1"/>
      <w:numFmt w:val="bullet"/>
      <w:lvlText w:val="o"/>
      <w:lvlJc w:val="left"/>
      <w:pPr>
        <w:tabs>
          <w:tab w:val="num" w:pos="1152"/>
        </w:tabs>
        <w:ind w:left="1152" w:hanging="360"/>
      </w:pPr>
      <w:rPr>
        <w:rFonts w:ascii="Courier New" w:hAnsi="Courier New" w:cs="Courier New" w:hint="default"/>
      </w:rPr>
    </w:lvl>
    <w:lvl w:ilvl="2" w:tplc="08070005" w:tentative="1">
      <w:start w:val="1"/>
      <w:numFmt w:val="bullet"/>
      <w:lvlText w:val=""/>
      <w:lvlJc w:val="left"/>
      <w:pPr>
        <w:tabs>
          <w:tab w:val="num" w:pos="1872"/>
        </w:tabs>
        <w:ind w:left="1872" w:hanging="360"/>
      </w:pPr>
      <w:rPr>
        <w:rFonts w:ascii="Wingdings" w:hAnsi="Wingdings" w:hint="default"/>
      </w:rPr>
    </w:lvl>
    <w:lvl w:ilvl="3" w:tplc="08070001" w:tentative="1">
      <w:start w:val="1"/>
      <w:numFmt w:val="bullet"/>
      <w:lvlText w:val=""/>
      <w:lvlJc w:val="left"/>
      <w:pPr>
        <w:tabs>
          <w:tab w:val="num" w:pos="2592"/>
        </w:tabs>
        <w:ind w:left="2592" w:hanging="360"/>
      </w:pPr>
      <w:rPr>
        <w:rFonts w:ascii="Symbol" w:hAnsi="Symbol" w:hint="default"/>
      </w:rPr>
    </w:lvl>
    <w:lvl w:ilvl="4" w:tplc="08070003" w:tentative="1">
      <w:start w:val="1"/>
      <w:numFmt w:val="bullet"/>
      <w:lvlText w:val="o"/>
      <w:lvlJc w:val="left"/>
      <w:pPr>
        <w:tabs>
          <w:tab w:val="num" w:pos="3312"/>
        </w:tabs>
        <w:ind w:left="3312" w:hanging="360"/>
      </w:pPr>
      <w:rPr>
        <w:rFonts w:ascii="Courier New" w:hAnsi="Courier New" w:cs="Courier New" w:hint="default"/>
      </w:rPr>
    </w:lvl>
    <w:lvl w:ilvl="5" w:tplc="08070005" w:tentative="1">
      <w:start w:val="1"/>
      <w:numFmt w:val="bullet"/>
      <w:lvlText w:val=""/>
      <w:lvlJc w:val="left"/>
      <w:pPr>
        <w:tabs>
          <w:tab w:val="num" w:pos="4032"/>
        </w:tabs>
        <w:ind w:left="4032" w:hanging="360"/>
      </w:pPr>
      <w:rPr>
        <w:rFonts w:ascii="Wingdings" w:hAnsi="Wingdings" w:hint="default"/>
      </w:rPr>
    </w:lvl>
    <w:lvl w:ilvl="6" w:tplc="08070001" w:tentative="1">
      <w:start w:val="1"/>
      <w:numFmt w:val="bullet"/>
      <w:lvlText w:val=""/>
      <w:lvlJc w:val="left"/>
      <w:pPr>
        <w:tabs>
          <w:tab w:val="num" w:pos="4752"/>
        </w:tabs>
        <w:ind w:left="4752" w:hanging="360"/>
      </w:pPr>
      <w:rPr>
        <w:rFonts w:ascii="Symbol" w:hAnsi="Symbol" w:hint="default"/>
      </w:rPr>
    </w:lvl>
    <w:lvl w:ilvl="7" w:tplc="08070003" w:tentative="1">
      <w:start w:val="1"/>
      <w:numFmt w:val="bullet"/>
      <w:lvlText w:val="o"/>
      <w:lvlJc w:val="left"/>
      <w:pPr>
        <w:tabs>
          <w:tab w:val="num" w:pos="5472"/>
        </w:tabs>
        <w:ind w:left="5472" w:hanging="360"/>
      </w:pPr>
      <w:rPr>
        <w:rFonts w:ascii="Courier New" w:hAnsi="Courier New" w:cs="Courier New" w:hint="default"/>
      </w:rPr>
    </w:lvl>
    <w:lvl w:ilvl="8" w:tplc="08070005" w:tentative="1">
      <w:start w:val="1"/>
      <w:numFmt w:val="bullet"/>
      <w:lvlText w:val=""/>
      <w:lvlJc w:val="left"/>
      <w:pPr>
        <w:tabs>
          <w:tab w:val="num" w:pos="6192"/>
        </w:tabs>
        <w:ind w:left="6192" w:hanging="360"/>
      </w:pPr>
      <w:rPr>
        <w:rFonts w:ascii="Wingdings" w:hAnsi="Wingdings" w:hint="default"/>
      </w:rPr>
    </w:lvl>
  </w:abstractNum>
  <w:abstractNum w:abstractNumId="10" w15:restartNumberingAfterBreak="0">
    <w:nsid w:val="32FA584F"/>
    <w:multiLevelType w:val="hybridMultilevel"/>
    <w:tmpl w:val="1974CD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45C60"/>
    <w:multiLevelType w:val="hybridMultilevel"/>
    <w:tmpl w:val="24EA70EC"/>
    <w:lvl w:ilvl="0" w:tplc="08070001">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152"/>
        </w:tabs>
        <w:ind w:left="1152" w:hanging="360"/>
      </w:pPr>
      <w:rPr>
        <w:rFonts w:ascii="Courier New" w:hAnsi="Courier New" w:cs="Courier New" w:hint="default"/>
      </w:rPr>
    </w:lvl>
    <w:lvl w:ilvl="2" w:tplc="08070005" w:tentative="1">
      <w:start w:val="1"/>
      <w:numFmt w:val="bullet"/>
      <w:lvlText w:val=""/>
      <w:lvlJc w:val="left"/>
      <w:pPr>
        <w:tabs>
          <w:tab w:val="num" w:pos="1872"/>
        </w:tabs>
        <w:ind w:left="1872" w:hanging="360"/>
      </w:pPr>
      <w:rPr>
        <w:rFonts w:ascii="Wingdings" w:hAnsi="Wingdings" w:hint="default"/>
      </w:rPr>
    </w:lvl>
    <w:lvl w:ilvl="3" w:tplc="08070001" w:tentative="1">
      <w:start w:val="1"/>
      <w:numFmt w:val="bullet"/>
      <w:lvlText w:val=""/>
      <w:lvlJc w:val="left"/>
      <w:pPr>
        <w:tabs>
          <w:tab w:val="num" w:pos="2592"/>
        </w:tabs>
        <w:ind w:left="2592" w:hanging="360"/>
      </w:pPr>
      <w:rPr>
        <w:rFonts w:ascii="Symbol" w:hAnsi="Symbol" w:hint="default"/>
      </w:rPr>
    </w:lvl>
    <w:lvl w:ilvl="4" w:tplc="08070003" w:tentative="1">
      <w:start w:val="1"/>
      <w:numFmt w:val="bullet"/>
      <w:lvlText w:val="o"/>
      <w:lvlJc w:val="left"/>
      <w:pPr>
        <w:tabs>
          <w:tab w:val="num" w:pos="3312"/>
        </w:tabs>
        <w:ind w:left="3312" w:hanging="360"/>
      </w:pPr>
      <w:rPr>
        <w:rFonts w:ascii="Courier New" w:hAnsi="Courier New" w:cs="Courier New" w:hint="default"/>
      </w:rPr>
    </w:lvl>
    <w:lvl w:ilvl="5" w:tplc="08070005" w:tentative="1">
      <w:start w:val="1"/>
      <w:numFmt w:val="bullet"/>
      <w:lvlText w:val=""/>
      <w:lvlJc w:val="left"/>
      <w:pPr>
        <w:tabs>
          <w:tab w:val="num" w:pos="4032"/>
        </w:tabs>
        <w:ind w:left="4032" w:hanging="360"/>
      </w:pPr>
      <w:rPr>
        <w:rFonts w:ascii="Wingdings" w:hAnsi="Wingdings" w:hint="default"/>
      </w:rPr>
    </w:lvl>
    <w:lvl w:ilvl="6" w:tplc="08070001" w:tentative="1">
      <w:start w:val="1"/>
      <w:numFmt w:val="bullet"/>
      <w:lvlText w:val=""/>
      <w:lvlJc w:val="left"/>
      <w:pPr>
        <w:tabs>
          <w:tab w:val="num" w:pos="4752"/>
        </w:tabs>
        <w:ind w:left="4752" w:hanging="360"/>
      </w:pPr>
      <w:rPr>
        <w:rFonts w:ascii="Symbol" w:hAnsi="Symbol" w:hint="default"/>
      </w:rPr>
    </w:lvl>
    <w:lvl w:ilvl="7" w:tplc="08070003" w:tentative="1">
      <w:start w:val="1"/>
      <w:numFmt w:val="bullet"/>
      <w:lvlText w:val="o"/>
      <w:lvlJc w:val="left"/>
      <w:pPr>
        <w:tabs>
          <w:tab w:val="num" w:pos="5472"/>
        </w:tabs>
        <w:ind w:left="5472" w:hanging="360"/>
      </w:pPr>
      <w:rPr>
        <w:rFonts w:ascii="Courier New" w:hAnsi="Courier New" w:cs="Courier New" w:hint="default"/>
      </w:rPr>
    </w:lvl>
    <w:lvl w:ilvl="8" w:tplc="08070005" w:tentative="1">
      <w:start w:val="1"/>
      <w:numFmt w:val="bullet"/>
      <w:lvlText w:val=""/>
      <w:lvlJc w:val="left"/>
      <w:pPr>
        <w:tabs>
          <w:tab w:val="num" w:pos="6192"/>
        </w:tabs>
        <w:ind w:left="6192" w:hanging="360"/>
      </w:pPr>
      <w:rPr>
        <w:rFonts w:ascii="Wingdings" w:hAnsi="Wingdings" w:hint="default"/>
      </w:rPr>
    </w:lvl>
  </w:abstractNum>
  <w:abstractNum w:abstractNumId="12" w15:restartNumberingAfterBreak="0">
    <w:nsid w:val="4C3146F9"/>
    <w:multiLevelType w:val="hybridMultilevel"/>
    <w:tmpl w:val="A6D48474"/>
    <w:lvl w:ilvl="0" w:tplc="08070001">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152"/>
        </w:tabs>
        <w:ind w:left="1152" w:hanging="360"/>
      </w:pPr>
      <w:rPr>
        <w:rFonts w:ascii="Courier New" w:hAnsi="Courier New" w:cs="Courier New" w:hint="default"/>
      </w:rPr>
    </w:lvl>
    <w:lvl w:ilvl="2" w:tplc="08070005" w:tentative="1">
      <w:start w:val="1"/>
      <w:numFmt w:val="bullet"/>
      <w:lvlText w:val=""/>
      <w:lvlJc w:val="left"/>
      <w:pPr>
        <w:tabs>
          <w:tab w:val="num" w:pos="1872"/>
        </w:tabs>
        <w:ind w:left="1872" w:hanging="360"/>
      </w:pPr>
      <w:rPr>
        <w:rFonts w:ascii="Wingdings" w:hAnsi="Wingdings" w:hint="default"/>
      </w:rPr>
    </w:lvl>
    <w:lvl w:ilvl="3" w:tplc="08070001" w:tentative="1">
      <w:start w:val="1"/>
      <w:numFmt w:val="bullet"/>
      <w:lvlText w:val=""/>
      <w:lvlJc w:val="left"/>
      <w:pPr>
        <w:tabs>
          <w:tab w:val="num" w:pos="2592"/>
        </w:tabs>
        <w:ind w:left="2592" w:hanging="360"/>
      </w:pPr>
      <w:rPr>
        <w:rFonts w:ascii="Symbol" w:hAnsi="Symbol" w:hint="default"/>
      </w:rPr>
    </w:lvl>
    <w:lvl w:ilvl="4" w:tplc="08070003" w:tentative="1">
      <w:start w:val="1"/>
      <w:numFmt w:val="bullet"/>
      <w:lvlText w:val="o"/>
      <w:lvlJc w:val="left"/>
      <w:pPr>
        <w:tabs>
          <w:tab w:val="num" w:pos="3312"/>
        </w:tabs>
        <w:ind w:left="3312" w:hanging="360"/>
      </w:pPr>
      <w:rPr>
        <w:rFonts w:ascii="Courier New" w:hAnsi="Courier New" w:cs="Courier New" w:hint="default"/>
      </w:rPr>
    </w:lvl>
    <w:lvl w:ilvl="5" w:tplc="08070005" w:tentative="1">
      <w:start w:val="1"/>
      <w:numFmt w:val="bullet"/>
      <w:lvlText w:val=""/>
      <w:lvlJc w:val="left"/>
      <w:pPr>
        <w:tabs>
          <w:tab w:val="num" w:pos="4032"/>
        </w:tabs>
        <w:ind w:left="4032" w:hanging="360"/>
      </w:pPr>
      <w:rPr>
        <w:rFonts w:ascii="Wingdings" w:hAnsi="Wingdings" w:hint="default"/>
      </w:rPr>
    </w:lvl>
    <w:lvl w:ilvl="6" w:tplc="08070001" w:tentative="1">
      <w:start w:val="1"/>
      <w:numFmt w:val="bullet"/>
      <w:lvlText w:val=""/>
      <w:lvlJc w:val="left"/>
      <w:pPr>
        <w:tabs>
          <w:tab w:val="num" w:pos="4752"/>
        </w:tabs>
        <w:ind w:left="4752" w:hanging="360"/>
      </w:pPr>
      <w:rPr>
        <w:rFonts w:ascii="Symbol" w:hAnsi="Symbol" w:hint="default"/>
      </w:rPr>
    </w:lvl>
    <w:lvl w:ilvl="7" w:tplc="08070003" w:tentative="1">
      <w:start w:val="1"/>
      <w:numFmt w:val="bullet"/>
      <w:lvlText w:val="o"/>
      <w:lvlJc w:val="left"/>
      <w:pPr>
        <w:tabs>
          <w:tab w:val="num" w:pos="5472"/>
        </w:tabs>
        <w:ind w:left="5472" w:hanging="360"/>
      </w:pPr>
      <w:rPr>
        <w:rFonts w:ascii="Courier New" w:hAnsi="Courier New" w:cs="Courier New" w:hint="default"/>
      </w:rPr>
    </w:lvl>
    <w:lvl w:ilvl="8" w:tplc="08070005" w:tentative="1">
      <w:start w:val="1"/>
      <w:numFmt w:val="bullet"/>
      <w:lvlText w:val=""/>
      <w:lvlJc w:val="left"/>
      <w:pPr>
        <w:tabs>
          <w:tab w:val="num" w:pos="6192"/>
        </w:tabs>
        <w:ind w:left="6192" w:hanging="360"/>
      </w:pPr>
      <w:rPr>
        <w:rFonts w:ascii="Wingdings" w:hAnsi="Wingdings" w:hint="default"/>
      </w:rPr>
    </w:lvl>
  </w:abstractNum>
  <w:abstractNum w:abstractNumId="13" w15:restartNumberingAfterBreak="0">
    <w:nsid w:val="4DD10DC1"/>
    <w:multiLevelType w:val="hybridMultilevel"/>
    <w:tmpl w:val="BE66D44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E63FB7"/>
    <w:multiLevelType w:val="hybridMultilevel"/>
    <w:tmpl w:val="104A528C"/>
    <w:lvl w:ilvl="0" w:tplc="2DD0FF1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FE160A"/>
    <w:multiLevelType w:val="hybridMultilevel"/>
    <w:tmpl w:val="66EE10AA"/>
    <w:lvl w:ilvl="0" w:tplc="08070001">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152"/>
        </w:tabs>
        <w:ind w:left="1152" w:hanging="360"/>
      </w:pPr>
      <w:rPr>
        <w:rFonts w:ascii="Courier New" w:hAnsi="Courier New" w:cs="Courier New" w:hint="default"/>
      </w:rPr>
    </w:lvl>
    <w:lvl w:ilvl="2" w:tplc="08070005" w:tentative="1">
      <w:start w:val="1"/>
      <w:numFmt w:val="bullet"/>
      <w:lvlText w:val=""/>
      <w:lvlJc w:val="left"/>
      <w:pPr>
        <w:tabs>
          <w:tab w:val="num" w:pos="1872"/>
        </w:tabs>
        <w:ind w:left="1872" w:hanging="360"/>
      </w:pPr>
      <w:rPr>
        <w:rFonts w:ascii="Wingdings" w:hAnsi="Wingdings" w:hint="default"/>
      </w:rPr>
    </w:lvl>
    <w:lvl w:ilvl="3" w:tplc="08070001" w:tentative="1">
      <w:start w:val="1"/>
      <w:numFmt w:val="bullet"/>
      <w:lvlText w:val=""/>
      <w:lvlJc w:val="left"/>
      <w:pPr>
        <w:tabs>
          <w:tab w:val="num" w:pos="2592"/>
        </w:tabs>
        <w:ind w:left="2592" w:hanging="360"/>
      </w:pPr>
      <w:rPr>
        <w:rFonts w:ascii="Symbol" w:hAnsi="Symbol" w:hint="default"/>
      </w:rPr>
    </w:lvl>
    <w:lvl w:ilvl="4" w:tplc="08070003" w:tentative="1">
      <w:start w:val="1"/>
      <w:numFmt w:val="bullet"/>
      <w:lvlText w:val="o"/>
      <w:lvlJc w:val="left"/>
      <w:pPr>
        <w:tabs>
          <w:tab w:val="num" w:pos="3312"/>
        </w:tabs>
        <w:ind w:left="3312" w:hanging="360"/>
      </w:pPr>
      <w:rPr>
        <w:rFonts w:ascii="Courier New" w:hAnsi="Courier New" w:cs="Courier New" w:hint="default"/>
      </w:rPr>
    </w:lvl>
    <w:lvl w:ilvl="5" w:tplc="08070005" w:tentative="1">
      <w:start w:val="1"/>
      <w:numFmt w:val="bullet"/>
      <w:lvlText w:val=""/>
      <w:lvlJc w:val="left"/>
      <w:pPr>
        <w:tabs>
          <w:tab w:val="num" w:pos="4032"/>
        </w:tabs>
        <w:ind w:left="4032" w:hanging="360"/>
      </w:pPr>
      <w:rPr>
        <w:rFonts w:ascii="Wingdings" w:hAnsi="Wingdings" w:hint="default"/>
      </w:rPr>
    </w:lvl>
    <w:lvl w:ilvl="6" w:tplc="08070001" w:tentative="1">
      <w:start w:val="1"/>
      <w:numFmt w:val="bullet"/>
      <w:lvlText w:val=""/>
      <w:lvlJc w:val="left"/>
      <w:pPr>
        <w:tabs>
          <w:tab w:val="num" w:pos="4752"/>
        </w:tabs>
        <w:ind w:left="4752" w:hanging="360"/>
      </w:pPr>
      <w:rPr>
        <w:rFonts w:ascii="Symbol" w:hAnsi="Symbol" w:hint="default"/>
      </w:rPr>
    </w:lvl>
    <w:lvl w:ilvl="7" w:tplc="08070003" w:tentative="1">
      <w:start w:val="1"/>
      <w:numFmt w:val="bullet"/>
      <w:lvlText w:val="o"/>
      <w:lvlJc w:val="left"/>
      <w:pPr>
        <w:tabs>
          <w:tab w:val="num" w:pos="5472"/>
        </w:tabs>
        <w:ind w:left="5472" w:hanging="360"/>
      </w:pPr>
      <w:rPr>
        <w:rFonts w:ascii="Courier New" w:hAnsi="Courier New" w:cs="Courier New" w:hint="default"/>
      </w:rPr>
    </w:lvl>
    <w:lvl w:ilvl="8" w:tplc="08070005" w:tentative="1">
      <w:start w:val="1"/>
      <w:numFmt w:val="bullet"/>
      <w:lvlText w:val=""/>
      <w:lvlJc w:val="left"/>
      <w:pPr>
        <w:tabs>
          <w:tab w:val="num" w:pos="6192"/>
        </w:tabs>
        <w:ind w:left="6192" w:hanging="360"/>
      </w:pPr>
      <w:rPr>
        <w:rFonts w:ascii="Wingdings" w:hAnsi="Wingdings" w:hint="default"/>
      </w:rPr>
    </w:lvl>
  </w:abstractNum>
  <w:abstractNum w:abstractNumId="16" w15:restartNumberingAfterBreak="0">
    <w:nsid w:val="6DFF0BC7"/>
    <w:multiLevelType w:val="hybridMultilevel"/>
    <w:tmpl w:val="04F43EA0"/>
    <w:lvl w:ilvl="0" w:tplc="21066A36">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152"/>
        </w:tabs>
        <w:ind w:left="1152" w:hanging="360"/>
      </w:pPr>
      <w:rPr>
        <w:rFonts w:ascii="Courier New" w:hAnsi="Courier New" w:cs="Courier New" w:hint="default"/>
      </w:rPr>
    </w:lvl>
    <w:lvl w:ilvl="2" w:tplc="08070005" w:tentative="1">
      <w:start w:val="1"/>
      <w:numFmt w:val="bullet"/>
      <w:lvlText w:val=""/>
      <w:lvlJc w:val="left"/>
      <w:pPr>
        <w:tabs>
          <w:tab w:val="num" w:pos="1872"/>
        </w:tabs>
        <w:ind w:left="1872" w:hanging="360"/>
      </w:pPr>
      <w:rPr>
        <w:rFonts w:ascii="Wingdings" w:hAnsi="Wingdings" w:hint="default"/>
      </w:rPr>
    </w:lvl>
    <w:lvl w:ilvl="3" w:tplc="08070001" w:tentative="1">
      <w:start w:val="1"/>
      <w:numFmt w:val="bullet"/>
      <w:lvlText w:val=""/>
      <w:lvlJc w:val="left"/>
      <w:pPr>
        <w:tabs>
          <w:tab w:val="num" w:pos="2592"/>
        </w:tabs>
        <w:ind w:left="2592" w:hanging="360"/>
      </w:pPr>
      <w:rPr>
        <w:rFonts w:ascii="Symbol" w:hAnsi="Symbol" w:hint="default"/>
      </w:rPr>
    </w:lvl>
    <w:lvl w:ilvl="4" w:tplc="08070003" w:tentative="1">
      <w:start w:val="1"/>
      <w:numFmt w:val="bullet"/>
      <w:lvlText w:val="o"/>
      <w:lvlJc w:val="left"/>
      <w:pPr>
        <w:tabs>
          <w:tab w:val="num" w:pos="3312"/>
        </w:tabs>
        <w:ind w:left="3312" w:hanging="360"/>
      </w:pPr>
      <w:rPr>
        <w:rFonts w:ascii="Courier New" w:hAnsi="Courier New" w:cs="Courier New" w:hint="default"/>
      </w:rPr>
    </w:lvl>
    <w:lvl w:ilvl="5" w:tplc="08070005" w:tentative="1">
      <w:start w:val="1"/>
      <w:numFmt w:val="bullet"/>
      <w:lvlText w:val=""/>
      <w:lvlJc w:val="left"/>
      <w:pPr>
        <w:tabs>
          <w:tab w:val="num" w:pos="4032"/>
        </w:tabs>
        <w:ind w:left="4032" w:hanging="360"/>
      </w:pPr>
      <w:rPr>
        <w:rFonts w:ascii="Wingdings" w:hAnsi="Wingdings" w:hint="default"/>
      </w:rPr>
    </w:lvl>
    <w:lvl w:ilvl="6" w:tplc="08070001" w:tentative="1">
      <w:start w:val="1"/>
      <w:numFmt w:val="bullet"/>
      <w:lvlText w:val=""/>
      <w:lvlJc w:val="left"/>
      <w:pPr>
        <w:tabs>
          <w:tab w:val="num" w:pos="4752"/>
        </w:tabs>
        <w:ind w:left="4752" w:hanging="360"/>
      </w:pPr>
      <w:rPr>
        <w:rFonts w:ascii="Symbol" w:hAnsi="Symbol" w:hint="default"/>
      </w:rPr>
    </w:lvl>
    <w:lvl w:ilvl="7" w:tplc="08070003" w:tentative="1">
      <w:start w:val="1"/>
      <w:numFmt w:val="bullet"/>
      <w:lvlText w:val="o"/>
      <w:lvlJc w:val="left"/>
      <w:pPr>
        <w:tabs>
          <w:tab w:val="num" w:pos="5472"/>
        </w:tabs>
        <w:ind w:left="5472" w:hanging="360"/>
      </w:pPr>
      <w:rPr>
        <w:rFonts w:ascii="Courier New" w:hAnsi="Courier New" w:cs="Courier New" w:hint="default"/>
      </w:rPr>
    </w:lvl>
    <w:lvl w:ilvl="8" w:tplc="08070005" w:tentative="1">
      <w:start w:val="1"/>
      <w:numFmt w:val="bullet"/>
      <w:lvlText w:val=""/>
      <w:lvlJc w:val="left"/>
      <w:pPr>
        <w:tabs>
          <w:tab w:val="num" w:pos="6192"/>
        </w:tabs>
        <w:ind w:left="6192" w:hanging="360"/>
      </w:pPr>
      <w:rPr>
        <w:rFonts w:ascii="Wingdings" w:hAnsi="Wingdings" w:hint="default"/>
      </w:rPr>
    </w:lvl>
  </w:abstractNum>
  <w:abstractNum w:abstractNumId="17" w15:restartNumberingAfterBreak="0">
    <w:nsid w:val="746B0409"/>
    <w:multiLevelType w:val="hybridMultilevel"/>
    <w:tmpl w:val="D41CD16A"/>
    <w:lvl w:ilvl="0" w:tplc="08070001">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152"/>
        </w:tabs>
        <w:ind w:left="1152" w:hanging="360"/>
      </w:pPr>
      <w:rPr>
        <w:rFonts w:ascii="Courier New" w:hAnsi="Courier New" w:cs="Courier New" w:hint="default"/>
      </w:rPr>
    </w:lvl>
    <w:lvl w:ilvl="2" w:tplc="08070005" w:tentative="1">
      <w:start w:val="1"/>
      <w:numFmt w:val="bullet"/>
      <w:lvlText w:val=""/>
      <w:lvlJc w:val="left"/>
      <w:pPr>
        <w:tabs>
          <w:tab w:val="num" w:pos="1872"/>
        </w:tabs>
        <w:ind w:left="1872" w:hanging="360"/>
      </w:pPr>
      <w:rPr>
        <w:rFonts w:ascii="Wingdings" w:hAnsi="Wingdings" w:hint="default"/>
      </w:rPr>
    </w:lvl>
    <w:lvl w:ilvl="3" w:tplc="08070001" w:tentative="1">
      <w:start w:val="1"/>
      <w:numFmt w:val="bullet"/>
      <w:lvlText w:val=""/>
      <w:lvlJc w:val="left"/>
      <w:pPr>
        <w:tabs>
          <w:tab w:val="num" w:pos="2592"/>
        </w:tabs>
        <w:ind w:left="2592" w:hanging="360"/>
      </w:pPr>
      <w:rPr>
        <w:rFonts w:ascii="Symbol" w:hAnsi="Symbol" w:hint="default"/>
      </w:rPr>
    </w:lvl>
    <w:lvl w:ilvl="4" w:tplc="08070003" w:tentative="1">
      <w:start w:val="1"/>
      <w:numFmt w:val="bullet"/>
      <w:lvlText w:val="o"/>
      <w:lvlJc w:val="left"/>
      <w:pPr>
        <w:tabs>
          <w:tab w:val="num" w:pos="3312"/>
        </w:tabs>
        <w:ind w:left="3312" w:hanging="360"/>
      </w:pPr>
      <w:rPr>
        <w:rFonts w:ascii="Courier New" w:hAnsi="Courier New" w:cs="Courier New" w:hint="default"/>
      </w:rPr>
    </w:lvl>
    <w:lvl w:ilvl="5" w:tplc="08070005" w:tentative="1">
      <w:start w:val="1"/>
      <w:numFmt w:val="bullet"/>
      <w:lvlText w:val=""/>
      <w:lvlJc w:val="left"/>
      <w:pPr>
        <w:tabs>
          <w:tab w:val="num" w:pos="4032"/>
        </w:tabs>
        <w:ind w:left="4032" w:hanging="360"/>
      </w:pPr>
      <w:rPr>
        <w:rFonts w:ascii="Wingdings" w:hAnsi="Wingdings" w:hint="default"/>
      </w:rPr>
    </w:lvl>
    <w:lvl w:ilvl="6" w:tplc="08070001" w:tentative="1">
      <w:start w:val="1"/>
      <w:numFmt w:val="bullet"/>
      <w:lvlText w:val=""/>
      <w:lvlJc w:val="left"/>
      <w:pPr>
        <w:tabs>
          <w:tab w:val="num" w:pos="4752"/>
        </w:tabs>
        <w:ind w:left="4752" w:hanging="360"/>
      </w:pPr>
      <w:rPr>
        <w:rFonts w:ascii="Symbol" w:hAnsi="Symbol" w:hint="default"/>
      </w:rPr>
    </w:lvl>
    <w:lvl w:ilvl="7" w:tplc="08070003" w:tentative="1">
      <w:start w:val="1"/>
      <w:numFmt w:val="bullet"/>
      <w:lvlText w:val="o"/>
      <w:lvlJc w:val="left"/>
      <w:pPr>
        <w:tabs>
          <w:tab w:val="num" w:pos="5472"/>
        </w:tabs>
        <w:ind w:left="5472" w:hanging="360"/>
      </w:pPr>
      <w:rPr>
        <w:rFonts w:ascii="Courier New" w:hAnsi="Courier New" w:cs="Courier New" w:hint="default"/>
      </w:rPr>
    </w:lvl>
    <w:lvl w:ilvl="8" w:tplc="08070005" w:tentative="1">
      <w:start w:val="1"/>
      <w:numFmt w:val="bullet"/>
      <w:lvlText w:val=""/>
      <w:lvlJc w:val="left"/>
      <w:pPr>
        <w:tabs>
          <w:tab w:val="num" w:pos="6192"/>
        </w:tabs>
        <w:ind w:left="6192" w:hanging="360"/>
      </w:pPr>
      <w:rPr>
        <w:rFonts w:ascii="Wingdings" w:hAnsi="Wingdings" w:hint="default"/>
      </w:rPr>
    </w:lvl>
  </w:abstractNum>
  <w:abstractNum w:abstractNumId="18" w15:restartNumberingAfterBreak="0">
    <w:nsid w:val="75006498"/>
    <w:multiLevelType w:val="hybridMultilevel"/>
    <w:tmpl w:val="0CB26B2C"/>
    <w:lvl w:ilvl="0" w:tplc="08070001">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152"/>
        </w:tabs>
        <w:ind w:left="1152" w:hanging="360"/>
      </w:pPr>
      <w:rPr>
        <w:rFonts w:ascii="Courier New" w:hAnsi="Courier New" w:cs="Courier New" w:hint="default"/>
      </w:rPr>
    </w:lvl>
    <w:lvl w:ilvl="2" w:tplc="08070005" w:tentative="1">
      <w:start w:val="1"/>
      <w:numFmt w:val="bullet"/>
      <w:lvlText w:val=""/>
      <w:lvlJc w:val="left"/>
      <w:pPr>
        <w:tabs>
          <w:tab w:val="num" w:pos="1872"/>
        </w:tabs>
        <w:ind w:left="1872" w:hanging="360"/>
      </w:pPr>
      <w:rPr>
        <w:rFonts w:ascii="Wingdings" w:hAnsi="Wingdings" w:hint="default"/>
      </w:rPr>
    </w:lvl>
    <w:lvl w:ilvl="3" w:tplc="08070001" w:tentative="1">
      <w:start w:val="1"/>
      <w:numFmt w:val="bullet"/>
      <w:lvlText w:val=""/>
      <w:lvlJc w:val="left"/>
      <w:pPr>
        <w:tabs>
          <w:tab w:val="num" w:pos="2592"/>
        </w:tabs>
        <w:ind w:left="2592" w:hanging="360"/>
      </w:pPr>
      <w:rPr>
        <w:rFonts w:ascii="Symbol" w:hAnsi="Symbol" w:hint="default"/>
      </w:rPr>
    </w:lvl>
    <w:lvl w:ilvl="4" w:tplc="08070003" w:tentative="1">
      <w:start w:val="1"/>
      <w:numFmt w:val="bullet"/>
      <w:lvlText w:val="o"/>
      <w:lvlJc w:val="left"/>
      <w:pPr>
        <w:tabs>
          <w:tab w:val="num" w:pos="3312"/>
        </w:tabs>
        <w:ind w:left="3312" w:hanging="360"/>
      </w:pPr>
      <w:rPr>
        <w:rFonts w:ascii="Courier New" w:hAnsi="Courier New" w:cs="Courier New" w:hint="default"/>
      </w:rPr>
    </w:lvl>
    <w:lvl w:ilvl="5" w:tplc="08070005" w:tentative="1">
      <w:start w:val="1"/>
      <w:numFmt w:val="bullet"/>
      <w:lvlText w:val=""/>
      <w:lvlJc w:val="left"/>
      <w:pPr>
        <w:tabs>
          <w:tab w:val="num" w:pos="4032"/>
        </w:tabs>
        <w:ind w:left="4032" w:hanging="360"/>
      </w:pPr>
      <w:rPr>
        <w:rFonts w:ascii="Wingdings" w:hAnsi="Wingdings" w:hint="default"/>
      </w:rPr>
    </w:lvl>
    <w:lvl w:ilvl="6" w:tplc="08070001" w:tentative="1">
      <w:start w:val="1"/>
      <w:numFmt w:val="bullet"/>
      <w:lvlText w:val=""/>
      <w:lvlJc w:val="left"/>
      <w:pPr>
        <w:tabs>
          <w:tab w:val="num" w:pos="4752"/>
        </w:tabs>
        <w:ind w:left="4752" w:hanging="360"/>
      </w:pPr>
      <w:rPr>
        <w:rFonts w:ascii="Symbol" w:hAnsi="Symbol" w:hint="default"/>
      </w:rPr>
    </w:lvl>
    <w:lvl w:ilvl="7" w:tplc="08070003" w:tentative="1">
      <w:start w:val="1"/>
      <w:numFmt w:val="bullet"/>
      <w:lvlText w:val="o"/>
      <w:lvlJc w:val="left"/>
      <w:pPr>
        <w:tabs>
          <w:tab w:val="num" w:pos="5472"/>
        </w:tabs>
        <w:ind w:left="5472" w:hanging="360"/>
      </w:pPr>
      <w:rPr>
        <w:rFonts w:ascii="Courier New" w:hAnsi="Courier New" w:cs="Courier New" w:hint="default"/>
      </w:rPr>
    </w:lvl>
    <w:lvl w:ilvl="8" w:tplc="08070005" w:tentative="1">
      <w:start w:val="1"/>
      <w:numFmt w:val="bullet"/>
      <w:lvlText w:val=""/>
      <w:lvlJc w:val="left"/>
      <w:pPr>
        <w:tabs>
          <w:tab w:val="num" w:pos="6192"/>
        </w:tabs>
        <w:ind w:left="6192" w:hanging="360"/>
      </w:pPr>
      <w:rPr>
        <w:rFonts w:ascii="Wingdings" w:hAnsi="Wingdings" w:hint="default"/>
      </w:rPr>
    </w:lvl>
  </w:abstractNum>
  <w:abstractNum w:abstractNumId="19" w15:restartNumberingAfterBreak="0">
    <w:nsid w:val="76A84BE6"/>
    <w:multiLevelType w:val="hybridMultilevel"/>
    <w:tmpl w:val="B0425B9C"/>
    <w:lvl w:ilvl="0" w:tplc="94B6A738">
      <w:start w:val="1"/>
      <w:numFmt w:val="lowerLetter"/>
      <w:lvlText w:val="%1"/>
      <w:lvlJc w:val="left"/>
      <w:pPr>
        <w:tabs>
          <w:tab w:val="num" w:pos="432"/>
        </w:tabs>
        <w:ind w:left="432" w:hanging="360"/>
      </w:pPr>
      <w:rPr>
        <w:rFonts w:hint="default"/>
        <w:b w:val="0"/>
        <w:i/>
      </w:rPr>
    </w:lvl>
    <w:lvl w:ilvl="1" w:tplc="08070019" w:tentative="1">
      <w:start w:val="1"/>
      <w:numFmt w:val="lowerLetter"/>
      <w:lvlText w:val="%2."/>
      <w:lvlJc w:val="left"/>
      <w:pPr>
        <w:tabs>
          <w:tab w:val="num" w:pos="1152"/>
        </w:tabs>
        <w:ind w:left="1152" w:hanging="360"/>
      </w:pPr>
    </w:lvl>
    <w:lvl w:ilvl="2" w:tplc="0807001B" w:tentative="1">
      <w:start w:val="1"/>
      <w:numFmt w:val="lowerRoman"/>
      <w:lvlText w:val="%3."/>
      <w:lvlJc w:val="right"/>
      <w:pPr>
        <w:tabs>
          <w:tab w:val="num" w:pos="1872"/>
        </w:tabs>
        <w:ind w:left="1872" w:hanging="180"/>
      </w:pPr>
    </w:lvl>
    <w:lvl w:ilvl="3" w:tplc="0807000F" w:tentative="1">
      <w:start w:val="1"/>
      <w:numFmt w:val="decimal"/>
      <w:lvlText w:val="%4."/>
      <w:lvlJc w:val="left"/>
      <w:pPr>
        <w:tabs>
          <w:tab w:val="num" w:pos="2592"/>
        </w:tabs>
        <w:ind w:left="2592" w:hanging="360"/>
      </w:pPr>
    </w:lvl>
    <w:lvl w:ilvl="4" w:tplc="08070019" w:tentative="1">
      <w:start w:val="1"/>
      <w:numFmt w:val="lowerLetter"/>
      <w:lvlText w:val="%5."/>
      <w:lvlJc w:val="left"/>
      <w:pPr>
        <w:tabs>
          <w:tab w:val="num" w:pos="3312"/>
        </w:tabs>
        <w:ind w:left="3312" w:hanging="360"/>
      </w:pPr>
    </w:lvl>
    <w:lvl w:ilvl="5" w:tplc="0807001B" w:tentative="1">
      <w:start w:val="1"/>
      <w:numFmt w:val="lowerRoman"/>
      <w:lvlText w:val="%6."/>
      <w:lvlJc w:val="right"/>
      <w:pPr>
        <w:tabs>
          <w:tab w:val="num" w:pos="4032"/>
        </w:tabs>
        <w:ind w:left="4032" w:hanging="180"/>
      </w:pPr>
    </w:lvl>
    <w:lvl w:ilvl="6" w:tplc="0807000F" w:tentative="1">
      <w:start w:val="1"/>
      <w:numFmt w:val="decimal"/>
      <w:lvlText w:val="%7."/>
      <w:lvlJc w:val="left"/>
      <w:pPr>
        <w:tabs>
          <w:tab w:val="num" w:pos="4752"/>
        </w:tabs>
        <w:ind w:left="4752" w:hanging="360"/>
      </w:pPr>
    </w:lvl>
    <w:lvl w:ilvl="7" w:tplc="08070019" w:tentative="1">
      <w:start w:val="1"/>
      <w:numFmt w:val="lowerLetter"/>
      <w:lvlText w:val="%8."/>
      <w:lvlJc w:val="left"/>
      <w:pPr>
        <w:tabs>
          <w:tab w:val="num" w:pos="5472"/>
        </w:tabs>
        <w:ind w:left="5472" w:hanging="360"/>
      </w:pPr>
    </w:lvl>
    <w:lvl w:ilvl="8" w:tplc="0807001B" w:tentative="1">
      <w:start w:val="1"/>
      <w:numFmt w:val="lowerRoman"/>
      <w:lvlText w:val="%9."/>
      <w:lvlJc w:val="right"/>
      <w:pPr>
        <w:tabs>
          <w:tab w:val="num" w:pos="6192"/>
        </w:tabs>
        <w:ind w:left="6192" w:hanging="180"/>
      </w:pPr>
    </w:lvl>
  </w:abstractNum>
  <w:abstractNum w:abstractNumId="20" w15:restartNumberingAfterBreak="0">
    <w:nsid w:val="7CDA17C0"/>
    <w:multiLevelType w:val="hybridMultilevel"/>
    <w:tmpl w:val="E9F02EAA"/>
    <w:lvl w:ilvl="0" w:tplc="99F4A7F6">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3"/>
  </w:num>
  <w:num w:numId="4">
    <w:abstractNumId w:val="6"/>
  </w:num>
  <w:num w:numId="5">
    <w:abstractNumId w:val="17"/>
  </w:num>
  <w:num w:numId="6">
    <w:abstractNumId w:val="1"/>
  </w:num>
  <w:num w:numId="7">
    <w:abstractNumId w:val="15"/>
  </w:num>
  <w:num w:numId="8">
    <w:abstractNumId w:val="8"/>
  </w:num>
  <w:num w:numId="9">
    <w:abstractNumId w:val="13"/>
  </w:num>
  <w:num w:numId="10">
    <w:abstractNumId w:val="11"/>
  </w:num>
  <w:num w:numId="11">
    <w:abstractNumId w:val="10"/>
  </w:num>
  <w:num w:numId="12">
    <w:abstractNumId w:val="12"/>
  </w:num>
  <w:num w:numId="13">
    <w:abstractNumId w:val="9"/>
  </w:num>
  <w:num w:numId="14">
    <w:abstractNumId w:val="2"/>
  </w:num>
  <w:num w:numId="15">
    <w:abstractNumId w:val="4"/>
  </w:num>
  <w:num w:numId="16">
    <w:abstractNumId w:val="7"/>
  </w:num>
  <w:num w:numId="17">
    <w:abstractNumId w:val="16"/>
  </w:num>
  <w:num w:numId="18">
    <w:abstractNumId w:val="5"/>
  </w:num>
  <w:num w:numId="19">
    <w:abstractNumId w:val="19"/>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2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LINGUA-PC_20180118"/>
    <w:docVar w:name="TermBaseURL" w:val="empty"/>
    <w:docVar w:name="TextBases" w:val="S3011IIS000PG68.sta.be.ch\Canton de Berne\BELEX 2016 (LexWork)|S3011IIS000PG68.sta.be.ch\Canton de Berne\Canton de Berne|S3011IIS000PG68.sta.be.ch\JCE\JCE_valide|S3011IIS000PG68.sta.be.ch\Canton de Berne\BELEX_Historique|S3011IIS000PG68.sta.be.ch\FIN-SG\FIN-SG_valide|S3011IIS000PG68.sta.be.ch\POM\POM_valide|S3011IIS000PG68.sta.be.ch\TTE\TTE_valide|S3011IIS000PG68.sta.be.ch\JCE\kontenrahmen-v5|S3011IIS000PG68.sta.be.ch\JCE\plancomptable|S3011IIS000PG68.sta.be.ch\Canton de Berne\BSIG|S3011IIS000PG68.sta.be.ch\CHA\CHA_valide|S3011IIS000PG68.sta.be.ch\INS\INS_valide|S3011IIS000PG68.sta.be.ch\JCE\JCE_Temporaire|S3011IIS000PG68.sta.be.ch\ECO\ECO_valide|S3011IIS000PG68.sta.be.ch\FIN-ICI\FIN-ICI_valide|S3011IIS000PG68.sta.be.ch\Canton de Berne\Conf_2017-12|S3011IIS000PG68.sta.be.ch\JCE\JCE_interne"/>
    <w:docVar w:name="TextBaseURL" w:val="empty"/>
    <w:docVar w:name="UILng" w:val="fr"/>
  </w:docVars>
  <w:rsids>
    <w:rsidRoot w:val="00845279"/>
    <w:rsid w:val="00003474"/>
    <w:rsid w:val="000108C3"/>
    <w:rsid w:val="00021F21"/>
    <w:rsid w:val="0002206A"/>
    <w:rsid w:val="00027FD4"/>
    <w:rsid w:val="00032B0F"/>
    <w:rsid w:val="00034A74"/>
    <w:rsid w:val="00035E30"/>
    <w:rsid w:val="00036B91"/>
    <w:rsid w:val="0004503F"/>
    <w:rsid w:val="00052554"/>
    <w:rsid w:val="000530F4"/>
    <w:rsid w:val="0005417F"/>
    <w:rsid w:val="00061DAF"/>
    <w:rsid w:val="000643F3"/>
    <w:rsid w:val="000659D0"/>
    <w:rsid w:val="00066F58"/>
    <w:rsid w:val="0006768E"/>
    <w:rsid w:val="00070366"/>
    <w:rsid w:val="0007077B"/>
    <w:rsid w:val="000805FE"/>
    <w:rsid w:val="000826D7"/>
    <w:rsid w:val="0008564E"/>
    <w:rsid w:val="00085DB9"/>
    <w:rsid w:val="000903B6"/>
    <w:rsid w:val="00090D60"/>
    <w:rsid w:val="00092B39"/>
    <w:rsid w:val="00093153"/>
    <w:rsid w:val="00093DED"/>
    <w:rsid w:val="000A49CA"/>
    <w:rsid w:val="000A6B65"/>
    <w:rsid w:val="000A705A"/>
    <w:rsid w:val="000B2AF2"/>
    <w:rsid w:val="000B2F07"/>
    <w:rsid w:val="000D6D03"/>
    <w:rsid w:val="000E6BCE"/>
    <w:rsid w:val="000F5297"/>
    <w:rsid w:val="000F5D7B"/>
    <w:rsid w:val="00111695"/>
    <w:rsid w:val="001141A8"/>
    <w:rsid w:val="0011501E"/>
    <w:rsid w:val="001229C6"/>
    <w:rsid w:val="00124EED"/>
    <w:rsid w:val="00127E04"/>
    <w:rsid w:val="00135F7A"/>
    <w:rsid w:val="00137CBE"/>
    <w:rsid w:val="001466A1"/>
    <w:rsid w:val="00152978"/>
    <w:rsid w:val="00154DDB"/>
    <w:rsid w:val="00157657"/>
    <w:rsid w:val="00160BA2"/>
    <w:rsid w:val="00164661"/>
    <w:rsid w:val="00165F15"/>
    <w:rsid w:val="00170979"/>
    <w:rsid w:val="00172044"/>
    <w:rsid w:val="001753FE"/>
    <w:rsid w:val="0017740A"/>
    <w:rsid w:val="001854F4"/>
    <w:rsid w:val="00187522"/>
    <w:rsid w:val="00187C0B"/>
    <w:rsid w:val="00191528"/>
    <w:rsid w:val="0019574A"/>
    <w:rsid w:val="00197DE6"/>
    <w:rsid w:val="001A02DF"/>
    <w:rsid w:val="001A4F2B"/>
    <w:rsid w:val="001A74EA"/>
    <w:rsid w:val="001B77CD"/>
    <w:rsid w:val="001C0BB3"/>
    <w:rsid w:val="001C26F9"/>
    <w:rsid w:val="001E48FA"/>
    <w:rsid w:val="001E4FBF"/>
    <w:rsid w:val="001E7525"/>
    <w:rsid w:val="001F1207"/>
    <w:rsid w:val="001F1664"/>
    <w:rsid w:val="001F2E73"/>
    <w:rsid w:val="001F4595"/>
    <w:rsid w:val="001F5091"/>
    <w:rsid w:val="00202E4B"/>
    <w:rsid w:val="00203DD1"/>
    <w:rsid w:val="002063FC"/>
    <w:rsid w:val="00210270"/>
    <w:rsid w:val="00212E6B"/>
    <w:rsid w:val="00215753"/>
    <w:rsid w:val="00217A40"/>
    <w:rsid w:val="0022430C"/>
    <w:rsid w:val="00225055"/>
    <w:rsid w:val="002347B9"/>
    <w:rsid w:val="00235ECD"/>
    <w:rsid w:val="00241162"/>
    <w:rsid w:val="00241A7D"/>
    <w:rsid w:val="00245D42"/>
    <w:rsid w:val="00246A84"/>
    <w:rsid w:val="00247EB0"/>
    <w:rsid w:val="00260940"/>
    <w:rsid w:val="00263828"/>
    <w:rsid w:val="0026553C"/>
    <w:rsid w:val="00274398"/>
    <w:rsid w:val="00275BA9"/>
    <w:rsid w:val="00275C30"/>
    <w:rsid w:val="00276DBB"/>
    <w:rsid w:val="00290B52"/>
    <w:rsid w:val="0029418C"/>
    <w:rsid w:val="002950D4"/>
    <w:rsid w:val="0029513D"/>
    <w:rsid w:val="002B04BD"/>
    <w:rsid w:val="002B49C9"/>
    <w:rsid w:val="002E0FE6"/>
    <w:rsid w:val="002F6296"/>
    <w:rsid w:val="00300655"/>
    <w:rsid w:val="003016A0"/>
    <w:rsid w:val="00301F67"/>
    <w:rsid w:val="00305887"/>
    <w:rsid w:val="00307B22"/>
    <w:rsid w:val="00311597"/>
    <w:rsid w:val="00316FC7"/>
    <w:rsid w:val="00317AB5"/>
    <w:rsid w:val="0032424B"/>
    <w:rsid w:val="00324F23"/>
    <w:rsid w:val="0033749E"/>
    <w:rsid w:val="003417B1"/>
    <w:rsid w:val="00341BE4"/>
    <w:rsid w:val="003455C2"/>
    <w:rsid w:val="00350A11"/>
    <w:rsid w:val="00352292"/>
    <w:rsid w:val="00355481"/>
    <w:rsid w:val="00355D6A"/>
    <w:rsid w:val="00357101"/>
    <w:rsid w:val="00357576"/>
    <w:rsid w:val="003605FA"/>
    <w:rsid w:val="00361A13"/>
    <w:rsid w:val="003641E5"/>
    <w:rsid w:val="00371CCB"/>
    <w:rsid w:val="00372B20"/>
    <w:rsid w:val="00374AD5"/>
    <w:rsid w:val="00384FDF"/>
    <w:rsid w:val="0038559F"/>
    <w:rsid w:val="00386C29"/>
    <w:rsid w:val="0038788D"/>
    <w:rsid w:val="00391F97"/>
    <w:rsid w:val="003A2744"/>
    <w:rsid w:val="003A475E"/>
    <w:rsid w:val="003A61F0"/>
    <w:rsid w:val="003A6473"/>
    <w:rsid w:val="003B08D5"/>
    <w:rsid w:val="003B35C3"/>
    <w:rsid w:val="003C071A"/>
    <w:rsid w:val="003C1733"/>
    <w:rsid w:val="003C3451"/>
    <w:rsid w:val="003C5083"/>
    <w:rsid w:val="003D2500"/>
    <w:rsid w:val="003D473B"/>
    <w:rsid w:val="003E5E1E"/>
    <w:rsid w:val="003E74EC"/>
    <w:rsid w:val="003F3565"/>
    <w:rsid w:val="003F64F4"/>
    <w:rsid w:val="00401541"/>
    <w:rsid w:val="00413F73"/>
    <w:rsid w:val="00424A44"/>
    <w:rsid w:val="004254B4"/>
    <w:rsid w:val="0043313D"/>
    <w:rsid w:val="004348BE"/>
    <w:rsid w:val="004356F6"/>
    <w:rsid w:val="00440E5E"/>
    <w:rsid w:val="00442D05"/>
    <w:rsid w:val="00446618"/>
    <w:rsid w:val="0044763E"/>
    <w:rsid w:val="0045166F"/>
    <w:rsid w:val="00454186"/>
    <w:rsid w:val="00455BFB"/>
    <w:rsid w:val="00456ABE"/>
    <w:rsid w:val="00457A92"/>
    <w:rsid w:val="004626A9"/>
    <w:rsid w:val="00462737"/>
    <w:rsid w:val="004641C0"/>
    <w:rsid w:val="00467C63"/>
    <w:rsid w:val="00471535"/>
    <w:rsid w:val="004758E1"/>
    <w:rsid w:val="00480DE0"/>
    <w:rsid w:val="00484810"/>
    <w:rsid w:val="00484FC5"/>
    <w:rsid w:val="004863CB"/>
    <w:rsid w:val="004876CF"/>
    <w:rsid w:val="00492F42"/>
    <w:rsid w:val="00496F4D"/>
    <w:rsid w:val="004A25A3"/>
    <w:rsid w:val="004A59F1"/>
    <w:rsid w:val="004B0120"/>
    <w:rsid w:val="004B2422"/>
    <w:rsid w:val="004B411C"/>
    <w:rsid w:val="004B4CD7"/>
    <w:rsid w:val="004C4364"/>
    <w:rsid w:val="004C44EC"/>
    <w:rsid w:val="004C5D89"/>
    <w:rsid w:val="004E37E0"/>
    <w:rsid w:val="004E7E2F"/>
    <w:rsid w:val="004F272A"/>
    <w:rsid w:val="00502D3E"/>
    <w:rsid w:val="00502FC2"/>
    <w:rsid w:val="005069C5"/>
    <w:rsid w:val="00511DDE"/>
    <w:rsid w:val="005149F0"/>
    <w:rsid w:val="0052742A"/>
    <w:rsid w:val="00527525"/>
    <w:rsid w:val="00527B7C"/>
    <w:rsid w:val="005311DA"/>
    <w:rsid w:val="00535953"/>
    <w:rsid w:val="00535B92"/>
    <w:rsid w:val="00553194"/>
    <w:rsid w:val="00554233"/>
    <w:rsid w:val="005543AB"/>
    <w:rsid w:val="00570EBE"/>
    <w:rsid w:val="0057153D"/>
    <w:rsid w:val="005717A0"/>
    <w:rsid w:val="0057472B"/>
    <w:rsid w:val="005839C1"/>
    <w:rsid w:val="00586302"/>
    <w:rsid w:val="005A3CEE"/>
    <w:rsid w:val="005A418A"/>
    <w:rsid w:val="005A7F7C"/>
    <w:rsid w:val="005C064D"/>
    <w:rsid w:val="005C4637"/>
    <w:rsid w:val="005C4E1D"/>
    <w:rsid w:val="005D743D"/>
    <w:rsid w:val="005E122B"/>
    <w:rsid w:val="005E7F75"/>
    <w:rsid w:val="005F0ECB"/>
    <w:rsid w:val="005F180F"/>
    <w:rsid w:val="005F2719"/>
    <w:rsid w:val="005F4A12"/>
    <w:rsid w:val="00602C61"/>
    <w:rsid w:val="00614B10"/>
    <w:rsid w:val="0061647F"/>
    <w:rsid w:val="0061678E"/>
    <w:rsid w:val="0062198C"/>
    <w:rsid w:val="00622657"/>
    <w:rsid w:val="0063023A"/>
    <w:rsid w:val="00634793"/>
    <w:rsid w:val="00636DE7"/>
    <w:rsid w:val="0063748F"/>
    <w:rsid w:val="006563E8"/>
    <w:rsid w:val="00656F64"/>
    <w:rsid w:val="00660ED7"/>
    <w:rsid w:val="00661EB5"/>
    <w:rsid w:val="00663D7A"/>
    <w:rsid w:val="00665E2B"/>
    <w:rsid w:val="00676E9C"/>
    <w:rsid w:val="006774CD"/>
    <w:rsid w:val="00677961"/>
    <w:rsid w:val="006911FC"/>
    <w:rsid w:val="00692FFE"/>
    <w:rsid w:val="006965D6"/>
    <w:rsid w:val="006968C2"/>
    <w:rsid w:val="00696BE8"/>
    <w:rsid w:val="006A0AAE"/>
    <w:rsid w:val="006B7ED7"/>
    <w:rsid w:val="006D4421"/>
    <w:rsid w:val="006F12BD"/>
    <w:rsid w:val="006F1528"/>
    <w:rsid w:val="006F1F20"/>
    <w:rsid w:val="006F28CA"/>
    <w:rsid w:val="006F2F54"/>
    <w:rsid w:val="006F303A"/>
    <w:rsid w:val="006F3EB4"/>
    <w:rsid w:val="006F4AF0"/>
    <w:rsid w:val="006F768A"/>
    <w:rsid w:val="00703552"/>
    <w:rsid w:val="00703E7C"/>
    <w:rsid w:val="0070450D"/>
    <w:rsid w:val="00715950"/>
    <w:rsid w:val="00733BAE"/>
    <w:rsid w:val="00736D36"/>
    <w:rsid w:val="00743E21"/>
    <w:rsid w:val="00745059"/>
    <w:rsid w:val="00752263"/>
    <w:rsid w:val="00753313"/>
    <w:rsid w:val="00754C69"/>
    <w:rsid w:val="0076287F"/>
    <w:rsid w:val="00764096"/>
    <w:rsid w:val="00766236"/>
    <w:rsid w:val="0077451F"/>
    <w:rsid w:val="00774EC4"/>
    <w:rsid w:val="0079199B"/>
    <w:rsid w:val="00795488"/>
    <w:rsid w:val="00795F40"/>
    <w:rsid w:val="007972AD"/>
    <w:rsid w:val="007A4447"/>
    <w:rsid w:val="007B0294"/>
    <w:rsid w:val="007B6B37"/>
    <w:rsid w:val="007C157E"/>
    <w:rsid w:val="007C234C"/>
    <w:rsid w:val="007D1D36"/>
    <w:rsid w:val="007D35DC"/>
    <w:rsid w:val="007D61A4"/>
    <w:rsid w:val="007E2001"/>
    <w:rsid w:val="007E2C1F"/>
    <w:rsid w:val="007E75A5"/>
    <w:rsid w:val="0080232B"/>
    <w:rsid w:val="0080327B"/>
    <w:rsid w:val="00806129"/>
    <w:rsid w:val="0082471C"/>
    <w:rsid w:val="008276DE"/>
    <w:rsid w:val="008330B8"/>
    <w:rsid w:val="00834276"/>
    <w:rsid w:val="00834F52"/>
    <w:rsid w:val="00835BA4"/>
    <w:rsid w:val="008369CC"/>
    <w:rsid w:val="00837861"/>
    <w:rsid w:val="00840800"/>
    <w:rsid w:val="00840EC4"/>
    <w:rsid w:val="00845279"/>
    <w:rsid w:val="00847723"/>
    <w:rsid w:val="00850542"/>
    <w:rsid w:val="0085355B"/>
    <w:rsid w:val="008556C5"/>
    <w:rsid w:val="00856CDF"/>
    <w:rsid w:val="00857A5D"/>
    <w:rsid w:val="00863325"/>
    <w:rsid w:val="00870CA5"/>
    <w:rsid w:val="00871F5F"/>
    <w:rsid w:val="00880231"/>
    <w:rsid w:val="00892EB8"/>
    <w:rsid w:val="00893C81"/>
    <w:rsid w:val="00896C0D"/>
    <w:rsid w:val="008A1C13"/>
    <w:rsid w:val="008A3F68"/>
    <w:rsid w:val="008A6AEC"/>
    <w:rsid w:val="008B35AE"/>
    <w:rsid w:val="008C73C7"/>
    <w:rsid w:val="008D5293"/>
    <w:rsid w:val="008F2CE5"/>
    <w:rsid w:val="008F4771"/>
    <w:rsid w:val="008F4D08"/>
    <w:rsid w:val="00901939"/>
    <w:rsid w:val="00903199"/>
    <w:rsid w:val="00904304"/>
    <w:rsid w:val="00910C88"/>
    <w:rsid w:val="009117C7"/>
    <w:rsid w:val="009129DB"/>
    <w:rsid w:val="00927154"/>
    <w:rsid w:val="00927468"/>
    <w:rsid w:val="0095331B"/>
    <w:rsid w:val="0095586C"/>
    <w:rsid w:val="00956247"/>
    <w:rsid w:val="00956C0D"/>
    <w:rsid w:val="009616B3"/>
    <w:rsid w:val="00963C10"/>
    <w:rsid w:val="0096409E"/>
    <w:rsid w:val="009640B6"/>
    <w:rsid w:val="00964337"/>
    <w:rsid w:val="00966E67"/>
    <w:rsid w:val="0096775F"/>
    <w:rsid w:val="00971035"/>
    <w:rsid w:val="00972EAC"/>
    <w:rsid w:val="00973A56"/>
    <w:rsid w:val="00974A1A"/>
    <w:rsid w:val="00991CDF"/>
    <w:rsid w:val="009A2D97"/>
    <w:rsid w:val="009A3D20"/>
    <w:rsid w:val="009A4E64"/>
    <w:rsid w:val="009A50F6"/>
    <w:rsid w:val="009B270F"/>
    <w:rsid w:val="009B508C"/>
    <w:rsid w:val="009C28A8"/>
    <w:rsid w:val="009C2B17"/>
    <w:rsid w:val="009C3690"/>
    <w:rsid w:val="009E2503"/>
    <w:rsid w:val="009E28BF"/>
    <w:rsid w:val="009E55B1"/>
    <w:rsid w:val="009F0E68"/>
    <w:rsid w:val="009F2358"/>
    <w:rsid w:val="009F4878"/>
    <w:rsid w:val="00A01A1B"/>
    <w:rsid w:val="00A029B5"/>
    <w:rsid w:val="00A05424"/>
    <w:rsid w:val="00A13E9E"/>
    <w:rsid w:val="00A167D2"/>
    <w:rsid w:val="00A20C82"/>
    <w:rsid w:val="00A20DDA"/>
    <w:rsid w:val="00A2263B"/>
    <w:rsid w:val="00A22CE9"/>
    <w:rsid w:val="00A23301"/>
    <w:rsid w:val="00A24847"/>
    <w:rsid w:val="00A26BBF"/>
    <w:rsid w:val="00A336F1"/>
    <w:rsid w:val="00A345F9"/>
    <w:rsid w:val="00A41284"/>
    <w:rsid w:val="00A44B9A"/>
    <w:rsid w:val="00A47598"/>
    <w:rsid w:val="00A52963"/>
    <w:rsid w:val="00A542B9"/>
    <w:rsid w:val="00A575C9"/>
    <w:rsid w:val="00A67C00"/>
    <w:rsid w:val="00A95AD9"/>
    <w:rsid w:val="00AA1899"/>
    <w:rsid w:val="00AA4609"/>
    <w:rsid w:val="00AA69E9"/>
    <w:rsid w:val="00AA6C17"/>
    <w:rsid w:val="00AA7E25"/>
    <w:rsid w:val="00AB1A5E"/>
    <w:rsid w:val="00AB23E9"/>
    <w:rsid w:val="00AB3535"/>
    <w:rsid w:val="00AC2A0F"/>
    <w:rsid w:val="00AD1B62"/>
    <w:rsid w:val="00AD247D"/>
    <w:rsid w:val="00AD6C4F"/>
    <w:rsid w:val="00AE1A7A"/>
    <w:rsid w:val="00AE3735"/>
    <w:rsid w:val="00AE539D"/>
    <w:rsid w:val="00AF1BFC"/>
    <w:rsid w:val="00AF4BED"/>
    <w:rsid w:val="00B00548"/>
    <w:rsid w:val="00B04A1D"/>
    <w:rsid w:val="00B06D9B"/>
    <w:rsid w:val="00B07446"/>
    <w:rsid w:val="00B15764"/>
    <w:rsid w:val="00B15E0B"/>
    <w:rsid w:val="00B24D17"/>
    <w:rsid w:val="00B26B7C"/>
    <w:rsid w:val="00B319A5"/>
    <w:rsid w:val="00B3462F"/>
    <w:rsid w:val="00B35EC7"/>
    <w:rsid w:val="00B36059"/>
    <w:rsid w:val="00B52948"/>
    <w:rsid w:val="00B54A62"/>
    <w:rsid w:val="00B57969"/>
    <w:rsid w:val="00B6484B"/>
    <w:rsid w:val="00B65B3D"/>
    <w:rsid w:val="00B72C03"/>
    <w:rsid w:val="00B771AF"/>
    <w:rsid w:val="00B8216C"/>
    <w:rsid w:val="00B830EB"/>
    <w:rsid w:val="00B969F1"/>
    <w:rsid w:val="00BA005A"/>
    <w:rsid w:val="00BA1C1B"/>
    <w:rsid w:val="00BB4B74"/>
    <w:rsid w:val="00BB5CF8"/>
    <w:rsid w:val="00BC4AE0"/>
    <w:rsid w:val="00BC4F66"/>
    <w:rsid w:val="00BD5CBD"/>
    <w:rsid w:val="00BD5D2B"/>
    <w:rsid w:val="00BD6BC0"/>
    <w:rsid w:val="00BE3B05"/>
    <w:rsid w:val="00BE7CB3"/>
    <w:rsid w:val="00C004F1"/>
    <w:rsid w:val="00C01379"/>
    <w:rsid w:val="00C04F25"/>
    <w:rsid w:val="00C103C8"/>
    <w:rsid w:val="00C10C0D"/>
    <w:rsid w:val="00C21F7C"/>
    <w:rsid w:val="00C2294D"/>
    <w:rsid w:val="00C307AF"/>
    <w:rsid w:val="00C323AE"/>
    <w:rsid w:val="00C45758"/>
    <w:rsid w:val="00C508D5"/>
    <w:rsid w:val="00C60262"/>
    <w:rsid w:val="00C67E33"/>
    <w:rsid w:val="00C72380"/>
    <w:rsid w:val="00C72736"/>
    <w:rsid w:val="00C9556B"/>
    <w:rsid w:val="00CA0EEF"/>
    <w:rsid w:val="00CA1F40"/>
    <w:rsid w:val="00CA6F5B"/>
    <w:rsid w:val="00CB1F3D"/>
    <w:rsid w:val="00CB2946"/>
    <w:rsid w:val="00CC2425"/>
    <w:rsid w:val="00CC2708"/>
    <w:rsid w:val="00CC3D09"/>
    <w:rsid w:val="00CC427B"/>
    <w:rsid w:val="00CD0670"/>
    <w:rsid w:val="00CD37F0"/>
    <w:rsid w:val="00CE56D1"/>
    <w:rsid w:val="00CF0FBC"/>
    <w:rsid w:val="00D06986"/>
    <w:rsid w:val="00D074ED"/>
    <w:rsid w:val="00D131EA"/>
    <w:rsid w:val="00D159F4"/>
    <w:rsid w:val="00D2158D"/>
    <w:rsid w:val="00D2258F"/>
    <w:rsid w:val="00D241FC"/>
    <w:rsid w:val="00D2551E"/>
    <w:rsid w:val="00D5031E"/>
    <w:rsid w:val="00D51AAF"/>
    <w:rsid w:val="00D520CA"/>
    <w:rsid w:val="00D53AFA"/>
    <w:rsid w:val="00D5415D"/>
    <w:rsid w:val="00D54743"/>
    <w:rsid w:val="00D549B9"/>
    <w:rsid w:val="00D56D83"/>
    <w:rsid w:val="00D57D20"/>
    <w:rsid w:val="00D61B18"/>
    <w:rsid w:val="00D64508"/>
    <w:rsid w:val="00D65BCE"/>
    <w:rsid w:val="00D704E8"/>
    <w:rsid w:val="00D71D64"/>
    <w:rsid w:val="00D724FD"/>
    <w:rsid w:val="00D750F8"/>
    <w:rsid w:val="00D75891"/>
    <w:rsid w:val="00D77411"/>
    <w:rsid w:val="00D805E3"/>
    <w:rsid w:val="00D819CD"/>
    <w:rsid w:val="00D82BB2"/>
    <w:rsid w:val="00D836DE"/>
    <w:rsid w:val="00D92D37"/>
    <w:rsid w:val="00DA20D4"/>
    <w:rsid w:val="00DA25B3"/>
    <w:rsid w:val="00DA545D"/>
    <w:rsid w:val="00DB68A4"/>
    <w:rsid w:val="00DC2D11"/>
    <w:rsid w:val="00DD2030"/>
    <w:rsid w:val="00DD43D5"/>
    <w:rsid w:val="00DD692A"/>
    <w:rsid w:val="00DE5684"/>
    <w:rsid w:val="00DE78E7"/>
    <w:rsid w:val="00E02DB8"/>
    <w:rsid w:val="00E03D87"/>
    <w:rsid w:val="00E07A7C"/>
    <w:rsid w:val="00E11409"/>
    <w:rsid w:val="00E20A53"/>
    <w:rsid w:val="00E27A70"/>
    <w:rsid w:val="00E307E7"/>
    <w:rsid w:val="00E5326C"/>
    <w:rsid w:val="00E537F0"/>
    <w:rsid w:val="00E60635"/>
    <w:rsid w:val="00E62A2B"/>
    <w:rsid w:val="00E7155E"/>
    <w:rsid w:val="00E7366B"/>
    <w:rsid w:val="00E7445E"/>
    <w:rsid w:val="00E744C6"/>
    <w:rsid w:val="00E801D9"/>
    <w:rsid w:val="00E835A0"/>
    <w:rsid w:val="00E85ADC"/>
    <w:rsid w:val="00E90DBF"/>
    <w:rsid w:val="00E90F46"/>
    <w:rsid w:val="00E93E13"/>
    <w:rsid w:val="00E94995"/>
    <w:rsid w:val="00E95255"/>
    <w:rsid w:val="00EA18AD"/>
    <w:rsid w:val="00EA4947"/>
    <w:rsid w:val="00EA4D9E"/>
    <w:rsid w:val="00EB2335"/>
    <w:rsid w:val="00EC4B5B"/>
    <w:rsid w:val="00EC5BB9"/>
    <w:rsid w:val="00ED16BE"/>
    <w:rsid w:val="00ED2C68"/>
    <w:rsid w:val="00EE2092"/>
    <w:rsid w:val="00EE4239"/>
    <w:rsid w:val="00EE70B7"/>
    <w:rsid w:val="00EF0BA5"/>
    <w:rsid w:val="00EF2F68"/>
    <w:rsid w:val="00EF3F6F"/>
    <w:rsid w:val="00EF7693"/>
    <w:rsid w:val="00F10B53"/>
    <w:rsid w:val="00F122CE"/>
    <w:rsid w:val="00F1343E"/>
    <w:rsid w:val="00F1581D"/>
    <w:rsid w:val="00F20B6D"/>
    <w:rsid w:val="00F212DE"/>
    <w:rsid w:val="00F22B9B"/>
    <w:rsid w:val="00F3365E"/>
    <w:rsid w:val="00F33D23"/>
    <w:rsid w:val="00F3674C"/>
    <w:rsid w:val="00F4027B"/>
    <w:rsid w:val="00F42D7A"/>
    <w:rsid w:val="00F4508F"/>
    <w:rsid w:val="00F465B8"/>
    <w:rsid w:val="00F46968"/>
    <w:rsid w:val="00F50053"/>
    <w:rsid w:val="00F57F6F"/>
    <w:rsid w:val="00F60501"/>
    <w:rsid w:val="00F63E05"/>
    <w:rsid w:val="00F65FD8"/>
    <w:rsid w:val="00F75A46"/>
    <w:rsid w:val="00F81B69"/>
    <w:rsid w:val="00F85D84"/>
    <w:rsid w:val="00F90E6F"/>
    <w:rsid w:val="00FA048D"/>
    <w:rsid w:val="00FA3F69"/>
    <w:rsid w:val="00FA7CD4"/>
    <w:rsid w:val="00FA7CF6"/>
    <w:rsid w:val="00FB1682"/>
    <w:rsid w:val="00FB174B"/>
    <w:rsid w:val="00FB6BEC"/>
    <w:rsid w:val="00FC19B6"/>
    <w:rsid w:val="00FD09FA"/>
    <w:rsid w:val="00FD2A65"/>
    <w:rsid w:val="00FE4050"/>
    <w:rsid w:val="00FE55E9"/>
    <w:rsid w:val="00FF53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84939"/>
  <w15:docId w15:val="{C323EE7D-C9BB-4F4F-AC3B-6F58AEC2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de-CH"/>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b/>
    </w:rPr>
  </w:style>
  <w:style w:type="paragraph" w:styleId="Titre4">
    <w:name w:val="heading 4"/>
    <w:basedOn w:val="Normal"/>
    <w:next w:val="Normal"/>
    <w:qFormat/>
    <w:pPr>
      <w:keepNext/>
      <w:spacing w:before="240" w:after="60"/>
      <w:outlineLvl w:val="3"/>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semiHidden/>
    <w:pPr>
      <w:tabs>
        <w:tab w:val="right" w:leader="dot" w:pos="9525"/>
      </w:tabs>
      <w:spacing w:before="120" w:after="120"/>
    </w:pPr>
    <w:rPr>
      <w:b/>
      <w:caps/>
    </w:rPr>
  </w:style>
  <w:style w:type="paragraph" w:customStyle="1" w:styleId="GrosserTitel">
    <w:name w:val="Grosser Titel"/>
    <w:basedOn w:val="Normal"/>
    <w:next w:val="Normal"/>
    <w:pPr>
      <w:jc w:val="center"/>
    </w:pPr>
    <w:rPr>
      <w:b/>
      <w:sz w:val="52"/>
    </w:rPr>
  </w:style>
  <w:style w:type="paragraph" w:styleId="TM2">
    <w:name w:val="toc 2"/>
    <w:basedOn w:val="Normal"/>
    <w:next w:val="Normal"/>
    <w:semiHidden/>
    <w:pPr>
      <w:tabs>
        <w:tab w:val="right" w:leader="dot" w:pos="9525"/>
      </w:tabs>
      <w:ind w:left="220"/>
    </w:pPr>
    <w:rPr>
      <w:smallCaps/>
    </w:rPr>
  </w:style>
  <w:style w:type="paragraph" w:styleId="TM3">
    <w:name w:val="toc 3"/>
    <w:basedOn w:val="Normal"/>
    <w:next w:val="Normal"/>
    <w:semiHidden/>
    <w:pPr>
      <w:tabs>
        <w:tab w:val="right" w:leader="dot" w:pos="9525"/>
      </w:tabs>
      <w:ind w:left="442"/>
    </w:pPr>
    <w:rPr>
      <w:sz w:val="20"/>
    </w:rPr>
  </w:style>
  <w:style w:type="paragraph" w:styleId="TM4">
    <w:name w:val="toc 4"/>
    <w:basedOn w:val="Normal"/>
    <w:next w:val="Normal"/>
    <w:semiHidden/>
    <w:pPr>
      <w:tabs>
        <w:tab w:val="right" w:leader="dot" w:pos="9525"/>
      </w:tabs>
      <w:ind w:left="660"/>
    </w:pPr>
    <w:rPr>
      <w:rFonts w:ascii="Times New Roman" w:hAnsi="Times New Roman"/>
      <w:sz w:val="18"/>
    </w:rPr>
  </w:style>
  <w:style w:type="paragraph" w:styleId="TM5">
    <w:name w:val="toc 5"/>
    <w:basedOn w:val="Normal"/>
    <w:next w:val="Normal"/>
    <w:semiHidden/>
    <w:pPr>
      <w:tabs>
        <w:tab w:val="right" w:leader="dot" w:pos="9525"/>
      </w:tabs>
      <w:ind w:left="880"/>
    </w:pPr>
    <w:rPr>
      <w:rFonts w:ascii="Times New Roman" w:hAnsi="Times New Roman"/>
      <w:sz w:val="18"/>
    </w:rPr>
  </w:style>
  <w:style w:type="paragraph" w:styleId="TM6">
    <w:name w:val="toc 6"/>
    <w:basedOn w:val="Normal"/>
    <w:next w:val="Normal"/>
    <w:semiHidden/>
    <w:pPr>
      <w:tabs>
        <w:tab w:val="right" w:leader="dot" w:pos="9525"/>
      </w:tabs>
      <w:ind w:left="1100"/>
    </w:pPr>
    <w:rPr>
      <w:rFonts w:ascii="Times New Roman" w:hAnsi="Times New Roman"/>
      <w:sz w:val="18"/>
    </w:rPr>
  </w:style>
  <w:style w:type="paragraph" w:styleId="TM7">
    <w:name w:val="toc 7"/>
    <w:basedOn w:val="Normal"/>
    <w:next w:val="Normal"/>
    <w:semiHidden/>
    <w:pPr>
      <w:tabs>
        <w:tab w:val="right" w:leader="dot" w:pos="9525"/>
      </w:tabs>
      <w:ind w:left="1320"/>
    </w:pPr>
    <w:rPr>
      <w:rFonts w:ascii="Times New Roman" w:hAnsi="Times New Roman"/>
      <w:sz w:val="18"/>
    </w:rPr>
  </w:style>
  <w:style w:type="paragraph" w:styleId="TM8">
    <w:name w:val="toc 8"/>
    <w:basedOn w:val="Normal"/>
    <w:next w:val="Normal"/>
    <w:semiHidden/>
    <w:pPr>
      <w:tabs>
        <w:tab w:val="right" w:leader="dot" w:pos="9525"/>
      </w:tabs>
      <w:ind w:left="1540"/>
    </w:pPr>
    <w:rPr>
      <w:rFonts w:ascii="Times New Roman" w:hAnsi="Times New Roman"/>
      <w:sz w:val="18"/>
    </w:rPr>
  </w:style>
  <w:style w:type="paragraph" w:styleId="TM9">
    <w:name w:val="toc 9"/>
    <w:basedOn w:val="Normal"/>
    <w:next w:val="Normal"/>
    <w:semiHidden/>
    <w:pPr>
      <w:tabs>
        <w:tab w:val="right" w:leader="dot" w:pos="9525"/>
      </w:tabs>
      <w:ind w:left="1760"/>
    </w:pPr>
    <w:rPr>
      <w:rFonts w:ascii="Times New Roman" w:hAnsi="Times New Roman"/>
      <w:sz w:val="18"/>
    </w:rPr>
  </w:style>
  <w:style w:type="paragraph" w:customStyle="1" w:styleId="Marginale">
    <w:name w:val="Marginale"/>
    <w:basedOn w:val="Normal"/>
    <w:next w:val="Normal"/>
    <w:rPr>
      <w:sz w:val="20"/>
    </w:rPr>
  </w:style>
  <w:style w:type="paragraph" w:styleId="Index1">
    <w:name w:val="index 1"/>
    <w:basedOn w:val="Normal"/>
    <w:next w:val="Normal"/>
    <w:semiHidden/>
    <w:pPr>
      <w:tabs>
        <w:tab w:val="right" w:leader="dot" w:pos="4402"/>
      </w:tabs>
      <w:ind w:left="220" w:hanging="220"/>
    </w:pPr>
  </w:style>
  <w:style w:type="paragraph" w:styleId="Index2">
    <w:name w:val="index 2"/>
    <w:basedOn w:val="Normal"/>
    <w:next w:val="Normal"/>
    <w:semiHidden/>
    <w:pPr>
      <w:tabs>
        <w:tab w:val="right" w:leader="dot" w:pos="4402"/>
      </w:tabs>
      <w:ind w:left="440" w:hanging="220"/>
    </w:pPr>
  </w:style>
  <w:style w:type="paragraph" w:styleId="Index3">
    <w:name w:val="index 3"/>
    <w:basedOn w:val="Normal"/>
    <w:next w:val="Normal"/>
    <w:semiHidden/>
    <w:pPr>
      <w:tabs>
        <w:tab w:val="right" w:leader="dot" w:pos="4402"/>
      </w:tabs>
      <w:ind w:left="660" w:hanging="220"/>
    </w:pPr>
  </w:style>
  <w:style w:type="paragraph" w:styleId="Index4">
    <w:name w:val="index 4"/>
    <w:basedOn w:val="Normal"/>
    <w:next w:val="Normal"/>
    <w:semiHidden/>
    <w:pPr>
      <w:tabs>
        <w:tab w:val="right" w:leader="dot" w:pos="4402"/>
      </w:tabs>
      <w:ind w:left="880" w:hanging="220"/>
    </w:pPr>
  </w:style>
  <w:style w:type="paragraph" w:styleId="Index5">
    <w:name w:val="index 5"/>
    <w:basedOn w:val="Normal"/>
    <w:next w:val="Normal"/>
    <w:semiHidden/>
    <w:pPr>
      <w:tabs>
        <w:tab w:val="right" w:leader="dot" w:pos="4402"/>
      </w:tabs>
      <w:ind w:left="1100" w:hanging="220"/>
    </w:pPr>
  </w:style>
  <w:style w:type="paragraph" w:styleId="Index6">
    <w:name w:val="index 6"/>
    <w:basedOn w:val="Normal"/>
    <w:next w:val="Normal"/>
    <w:semiHidden/>
    <w:pPr>
      <w:tabs>
        <w:tab w:val="right" w:leader="dot" w:pos="4402"/>
      </w:tabs>
      <w:ind w:left="1320" w:hanging="220"/>
    </w:pPr>
  </w:style>
  <w:style w:type="paragraph" w:styleId="Index7">
    <w:name w:val="index 7"/>
    <w:basedOn w:val="Normal"/>
    <w:next w:val="Normal"/>
    <w:semiHidden/>
    <w:pPr>
      <w:tabs>
        <w:tab w:val="right" w:leader="dot" w:pos="4402"/>
      </w:tabs>
      <w:ind w:left="1540" w:hanging="220"/>
    </w:pPr>
  </w:style>
  <w:style w:type="paragraph" w:styleId="Index8">
    <w:name w:val="index 8"/>
    <w:basedOn w:val="Normal"/>
    <w:next w:val="Normal"/>
    <w:semiHidden/>
    <w:pPr>
      <w:tabs>
        <w:tab w:val="right" w:leader="dot" w:pos="4402"/>
      </w:tabs>
      <w:ind w:left="1760" w:hanging="220"/>
    </w:pPr>
  </w:style>
  <w:style w:type="paragraph" w:styleId="Index9">
    <w:name w:val="index 9"/>
    <w:basedOn w:val="Normal"/>
    <w:next w:val="Normal"/>
    <w:semiHidden/>
    <w:pPr>
      <w:tabs>
        <w:tab w:val="right" w:leader="dot" w:pos="4402"/>
      </w:tabs>
      <w:ind w:left="1980" w:hanging="220"/>
    </w:pPr>
  </w:style>
  <w:style w:type="paragraph" w:styleId="Titreindex">
    <w:name w:val="index heading"/>
    <w:basedOn w:val="Normal"/>
    <w:next w:val="Index1"/>
    <w:semiHidden/>
  </w:style>
  <w:style w:type="paragraph" w:styleId="Corpsdetexte">
    <w:name w:val="Body Text"/>
    <w:basedOn w:val="Normal"/>
    <w:pPr>
      <w:jc w:val="center"/>
    </w:pPr>
    <w:rPr>
      <w:b/>
    </w:rPr>
  </w:style>
  <w:style w:type="paragraph" w:styleId="Textedebulles">
    <w:name w:val="Balloon Text"/>
    <w:basedOn w:val="Normal"/>
    <w:semiHidden/>
    <w:rsid w:val="00AA7E25"/>
    <w:rPr>
      <w:rFonts w:ascii="Tahoma" w:hAnsi="Tahoma" w:cs="Tahoma"/>
      <w:sz w:val="16"/>
      <w:szCs w:val="16"/>
    </w:rPr>
  </w:style>
  <w:style w:type="character" w:styleId="Lienhypertexte">
    <w:name w:val="Hyperlink"/>
    <w:rsid w:val="00C01379"/>
    <w:rPr>
      <w:color w:val="0000FF"/>
      <w:u w:val="single"/>
    </w:rPr>
  </w:style>
  <w:style w:type="character" w:styleId="Lienhypertextesuivivisit">
    <w:name w:val="FollowedHyperlink"/>
    <w:rsid w:val="00C01379"/>
    <w:rPr>
      <w:color w:val="800080"/>
      <w:u w:val="single"/>
    </w:rPr>
  </w:style>
  <w:style w:type="character" w:styleId="Marquedecommentaire">
    <w:name w:val="annotation reference"/>
    <w:semiHidden/>
    <w:rsid w:val="0002206A"/>
    <w:rPr>
      <w:sz w:val="16"/>
      <w:szCs w:val="16"/>
    </w:rPr>
  </w:style>
  <w:style w:type="paragraph" w:styleId="Commentaire">
    <w:name w:val="annotation text"/>
    <w:basedOn w:val="Normal"/>
    <w:semiHidden/>
    <w:rsid w:val="0002206A"/>
    <w:rPr>
      <w:sz w:val="20"/>
    </w:rPr>
  </w:style>
  <w:style w:type="paragraph" w:styleId="Objetducommentaire">
    <w:name w:val="annotation subject"/>
    <w:basedOn w:val="Commentaire"/>
    <w:next w:val="Commentaire"/>
    <w:semiHidden/>
    <w:rsid w:val="0002206A"/>
    <w:rPr>
      <w:b/>
      <w:bCs/>
    </w:rPr>
  </w:style>
  <w:style w:type="character" w:styleId="Appelnotedebasdep">
    <w:name w:val="footnote reference"/>
    <w:rsid w:val="00B771AF"/>
    <w:rPr>
      <w:position w:val="6"/>
      <w:sz w:val="16"/>
    </w:rPr>
  </w:style>
  <w:style w:type="paragraph" w:styleId="Notedebasdepage">
    <w:name w:val="footnote text"/>
    <w:basedOn w:val="Normal"/>
    <w:link w:val="NotedebasdepageCar"/>
    <w:rsid w:val="00B771AF"/>
    <w:pPr>
      <w:tabs>
        <w:tab w:val="left" w:pos="5800"/>
      </w:tabs>
    </w:pPr>
    <w:rPr>
      <w:sz w:val="20"/>
      <w:lang w:val="de-CH" w:eastAsia="de-DE"/>
    </w:rPr>
  </w:style>
  <w:style w:type="character" w:customStyle="1" w:styleId="NotedebasdepageCar">
    <w:name w:val="Note de bas de page Car"/>
    <w:link w:val="Notedebasdepage"/>
    <w:rsid w:val="00B771AF"/>
    <w:rPr>
      <w:rFonts w:ascii="Arial" w:hAnsi="Arial"/>
      <w:lang w:eastAsia="de-DE"/>
    </w:rPr>
  </w:style>
  <w:style w:type="paragraph" w:customStyle="1" w:styleId="Default">
    <w:name w:val="Default"/>
    <w:rsid w:val="00492F42"/>
    <w:pPr>
      <w:autoSpaceDE w:val="0"/>
      <w:autoSpaceDN w:val="0"/>
      <w:adjustRightInd w:val="0"/>
    </w:pPr>
    <w:rPr>
      <w:rFonts w:ascii="Arial" w:hAnsi="Arial" w:cs="Arial"/>
      <w:color w:val="000000"/>
      <w:sz w:val="24"/>
      <w:szCs w:val="24"/>
      <w:lang w:val="de-CH" w:eastAsia="de-CH"/>
    </w:rPr>
  </w:style>
  <w:style w:type="paragraph" w:styleId="Rvision">
    <w:name w:val="Revision"/>
    <w:hidden/>
    <w:uiPriority w:val="99"/>
    <w:semiHidden/>
    <w:rsid w:val="00FA7CD4"/>
    <w:rPr>
      <w:rFonts w:ascii="Arial" w:hAnsi="Arial"/>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Robots.tx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AF1BE-120B-436D-8EF9-71B9823C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CDBB2604.dotm</Template>
  <TotalTime>0</TotalTime>
  <Pages>11</Pages>
  <Words>4268</Words>
  <Characters>24096</Characters>
  <Application>Microsoft Office Word</Application>
  <DocSecurity>0</DocSecurity>
  <Lines>200</Lines>
  <Paragraphs>56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Muster-Verordnung über die Internet-Bekanntgabe von öffentlichen Informationen</vt:lpstr>
      <vt:lpstr>Muster-Verordnung über die Internet-Bekanntgabe von öffentlichen Informationen</vt:lpstr>
    </vt:vector>
  </TitlesOfParts>
  <Company>JGK</Company>
  <LinksUpToDate>false</LinksUpToDate>
  <CharactersWithSpaces>28308</CharactersWithSpaces>
  <SharedDoc>false</SharedDoc>
  <HLinks>
    <vt:vector size="6" baseType="variant">
      <vt:variant>
        <vt:i4>3014702</vt:i4>
      </vt:variant>
      <vt:variant>
        <vt:i4>0</vt:i4>
      </vt:variant>
      <vt:variant>
        <vt:i4>0</vt:i4>
      </vt:variant>
      <vt:variant>
        <vt:i4>5</vt:i4>
      </vt:variant>
      <vt:variant>
        <vt:lpwstr>http://fr.wikipedia.org/wiki/Robots.txt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Muster-Verordnung über die Internet-Bekanntgabe von öffentlichen Informationen</dc:title>
  <dc:subject>Muster-Verordnung über die Internet-Bekanntgabe von öffentlichen Informationen</dc:subject>
  <dc:creator>Rahel Fricker</dc:creator>
  <cp:keywords>JGK, AGR, Gemeinden, Gemeinderecht, Datenschutz, Muster, Verordnung, Internet-Bekanntgabe, öffentliche, Informationen</cp:keywords>
  <dc:description>OgR für EG ergänzt mit OgV, Fassung OgV von KUB Ende Oktober 1998 erhalten; Formatierung OgR neuestem Stand angepasst, Muster mit OgV ergänzt - neueste Fassung vom 3. November 1998</dc:description>
  <cp:lastModifiedBy>Clivaz Florence, JGK-GS</cp:lastModifiedBy>
  <cp:revision>5</cp:revision>
  <cp:lastPrinted>2018-08-22T12:25:00Z</cp:lastPrinted>
  <dcterms:created xsi:type="dcterms:W3CDTF">2019-01-22T16:19:00Z</dcterms:created>
  <dcterms:modified xsi:type="dcterms:W3CDTF">2019-01-22T16:26:00Z</dcterms:modified>
</cp:coreProperties>
</file>