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A0" w:rsidRPr="00450633" w:rsidRDefault="00F215A0" w:rsidP="00F215A0">
      <w:pPr>
        <w:jc w:val="center"/>
        <w:rPr>
          <w:b/>
          <w:spacing w:val="24"/>
          <w:sz w:val="56"/>
          <w:szCs w:val="56"/>
        </w:rPr>
      </w:pPr>
      <w:bookmarkStart w:id="0" w:name="_GoBack"/>
      <w:bookmarkEnd w:id="0"/>
    </w:p>
    <w:p w:rsidR="00F215A0" w:rsidRPr="00450633" w:rsidRDefault="00F215A0" w:rsidP="00F215A0">
      <w:pPr>
        <w:jc w:val="center"/>
        <w:rPr>
          <w:b/>
          <w:spacing w:val="24"/>
          <w:sz w:val="56"/>
          <w:szCs w:val="56"/>
        </w:rPr>
      </w:pPr>
    </w:p>
    <w:p w:rsidR="00F215A0" w:rsidRPr="00450633" w:rsidRDefault="00114C3B" w:rsidP="00F215A0">
      <w:pPr>
        <w:jc w:val="center"/>
        <w:rPr>
          <w:b/>
          <w:spacing w:val="24"/>
          <w:sz w:val="56"/>
          <w:szCs w:val="56"/>
          <w:lang w:val="fr-CH"/>
        </w:rPr>
      </w:pPr>
      <w:r w:rsidRPr="00450633">
        <w:rPr>
          <w:b/>
          <w:spacing w:val="24"/>
          <w:sz w:val="56"/>
          <w:szCs w:val="56"/>
          <w:lang w:val="fr-CH"/>
        </w:rPr>
        <w:t>Rè</w:t>
      </w:r>
      <w:r w:rsidR="00F215A0" w:rsidRPr="00450633">
        <w:rPr>
          <w:b/>
          <w:spacing w:val="24"/>
          <w:sz w:val="56"/>
          <w:szCs w:val="56"/>
          <w:lang w:val="fr-CH"/>
        </w:rPr>
        <w:t>glement</w:t>
      </w:r>
    </w:p>
    <w:p w:rsidR="00F215A0" w:rsidRPr="00450633" w:rsidRDefault="00F215A0" w:rsidP="00F215A0">
      <w:pPr>
        <w:jc w:val="center"/>
        <w:rPr>
          <w:b/>
          <w:spacing w:val="24"/>
          <w:sz w:val="56"/>
          <w:szCs w:val="56"/>
          <w:lang w:val="fr-CH"/>
        </w:rPr>
      </w:pPr>
    </w:p>
    <w:p w:rsidR="00F215A0" w:rsidRPr="00450633" w:rsidRDefault="00F215A0" w:rsidP="00F215A0">
      <w:pPr>
        <w:jc w:val="center"/>
        <w:rPr>
          <w:b/>
          <w:spacing w:val="24"/>
          <w:sz w:val="56"/>
          <w:szCs w:val="56"/>
          <w:lang w:val="fr-CH"/>
        </w:rPr>
      </w:pPr>
    </w:p>
    <w:p w:rsidR="00F215A0" w:rsidRPr="00450633" w:rsidRDefault="00F215A0" w:rsidP="00F215A0">
      <w:pPr>
        <w:jc w:val="center"/>
        <w:rPr>
          <w:b/>
          <w:spacing w:val="24"/>
          <w:sz w:val="56"/>
          <w:szCs w:val="56"/>
          <w:lang w:val="fr-CH"/>
        </w:rPr>
      </w:pPr>
    </w:p>
    <w:p w:rsidR="00F215A0" w:rsidRPr="00450633" w:rsidRDefault="00114C3B" w:rsidP="00F215A0">
      <w:pPr>
        <w:jc w:val="center"/>
        <w:rPr>
          <w:b/>
          <w:spacing w:val="24"/>
          <w:sz w:val="28"/>
          <w:szCs w:val="28"/>
          <w:lang w:val="fr-CH"/>
        </w:rPr>
      </w:pPr>
      <w:proofErr w:type="gramStart"/>
      <w:r w:rsidRPr="00450633">
        <w:rPr>
          <w:b/>
          <w:spacing w:val="24"/>
          <w:sz w:val="28"/>
          <w:szCs w:val="28"/>
          <w:lang w:val="fr-CH"/>
        </w:rPr>
        <w:t>du</w:t>
      </w:r>
      <w:proofErr w:type="gramEnd"/>
    </w:p>
    <w:p w:rsidR="00F215A0" w:rsidRPr="00450633" w:rsidRDefault="00114C3B" w:rsidP="00F215A0">
      <w:pPr>
        <w:jc w:val="center"/>
        <w:rPr>
          <w:b/>
          <w:spacing w:val="24"/>
          <w:sz w:val="56"/>
          <w:szCs w:val="56"/>
          <w:lang w:val="fr-CH"/>
        </w:rPr>
      </w:pPr>
      <w:proofErr w:type="gramStart"/>
      <w:r w:rsidRPr="00450633">
        <w:rPr>
          <w:b/>
          <w:spacing w:val="24"/>
          <w:sz w:val="56"/>
          <w:szCs w:val="56"/>
          <w:lang w:val="fr-CH"/>
        </w:rPr>
        <w:t>financement</w:t>
      </w:r>
      <w:proofErr w:type="gramEnd"/>
      <w:r w:rsidRPr="00450633">
        <w:rPr>
          <w:b/>
          <w:spacing w:val="24"/>
          <w:sz w:val="56"/>
          <w:szCs w:val="56"/>
          <w:lang w:val="fr-CH"/>
        </w:rPr>
        <w:t xml:space="preserve"> spécial</w:t>
      </w:r>
    </w:p>
    <w:p w:rsidR="00F215A0" w:rsidRPr="00450633" w:rsidRDefault="00114C3B" w:rsidP="00F215A0">
      <w:pPr>
        <w:jc w:val="center"/>
        <w:rPr>
          <w:b/>
          <w:spacing w:val="24"/>
          <w:sz w:val="56"/>
          <w:szCs w:val="56"/>
          <w:lang w:val="fr-CH"/>
        </w:rPr>
      </w:pPr>
      <w:r w:rsidRPr="00450633">
        <w:rPr>
          <w:b/>
          <w:spacing w:val="24"/>
          <w:sz w:val="56"/>
          <w:szCs w:val="56"/>
          <w:lang w:val="fr-CH"/>
        </w:rPr>
        <w:t>«</w:t>
      </w:r>
      <w:r w:rsidR="00087E06" w:rsidRPr="00450633">
        <w:rPr>
          <w:w w:val="50"/>
          <w:lang w:val="fr-CH"/>
        </w:rPr>
        <w:t> </w:t>
      </w:r>
      <w:proofErr w:type="gramStart"/>
      <w:r w:rsidRPr="00450633">
        <w:rPr>
          <w:b/>
          <w:spacing w:val="24"/>
          <w:sz w:val="56"/>
          <w:szCs w:val="56"/>
          <w:lang w:val="fr-CH"/>
        </w:rPr>
        <w:t>réserve</w:t>
      </w:r>
      <w:proofErr w:type="gramEnd"/>
      <w:r w:rsidRPr="00450633">
        <w:rPr>
          <w:b/>
          <w:spacing w:val="24"/>
          <w:sz w:val="56"/>
          <w:szCs w:val="56"/>
          <w:lang w:val="fr-CH"/>
        </w:rPr>
        <w:t xml:space="preserve"> de fluctuation</w:t>
      </w:r>
      <w:r w:rsidR="00087E06" w:rsidRPr="00450633">
        <w:rPr>
          <w:w w:val="50"/>
          <w:lang w:val="fr-CH"/>
        </w:rPr>
        <w:t> </w:t>
      </w:r>
      <w:r w:rsidRPr="00450633">
        <w:rPr>
          <w:b/>
          <w:spacing w:val="24"/>
          <w:sz w:val="56"/>
          <w:szCs w:val="56"/>
          <w:lang w:val="fr-CH"/>
        </w:rPr>
        <w:t>»</w:t>
      </w:r>
    </w:p>
    <w:p w:rsidR="00F215A0" w:rsidRPr="00450633" w:rsidRDefault="00F215A0" w:rsidP="00F215A0">
      <w:pPr>
        <w:jc w:val="center"/>
        <w:rPr>
          <w:b/>
          <w:spacing w:val="24"/>
          <w:sz w:val="28"/>
          <w:szCs w:val="28"/>
          <w:lang w:val="fr-CH"/>
        </w:rPr>
      </w:pPr>
    </w:p>
    <w:p w:rsidR="00F215A0" w:rsidRPr="00450633" w:rsidRDefault="00F215A0" w:rsidP="00F215A0">
      <w:pPr>
        <w:jc w:val="center"/>
        <w:rPr>
          <w:b/>
          <w:spacing w:val="24"/>
          <w:sz w:val="56"/>
          <w:szCs w:val="56"/>
          <w:lang w:val="fr-CH"/>
        </w:rPr>
      </w:pPr>
    </w:p>
    <w:p w:rsidR="00F215A0" w:rsidRPr="00450633" w:rsidRDefault="00F215A0" w:rsidP="00F215A0">
      <w:pPr>
        <w:jc w:val="cente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F215A0" w:rsidP="00F215A0">
      <w:pPr>
        <w:rPr>
          <w:lang w:val="fr-CH"/>
        </w:rPr>
      </w:pPr>
    </w:p>
    <w:p w:rsidR="00F215A0" w:rsidRPr="00450633" w:rsidRDefault="00114C3B" w:rsidP="00F215A0">
      <w:pPr>
        <w:rPr>
          <w:b/>
          <w:lang w:val="fr-CH"/>
        </w:rPr>
      </w:pPr>
      <w:r w:rsidRPr="00450633">
        <w:rPr>
          <w:b/>
          <w:lang w:val="fr-CH"/>
        </w:rPr>
        <w:t>Teneur</w:t>
      </w:r>
      <w:r w:rsidR="00574538" w:rsidRPr="00450633">
        <w:rPr>
          <w:w w:val="50"/>
          <w:lang w:val="fr-CH"/>
        </w:rPr>
        <w:t> </w:t>
      </w:r>
      <w:r w:rsidR="00F215A0" w:rsidRPr="00450633">
        <w:rPr>
          <w:b/>
          <w:lang w:val="fr-CH"/>
        </w:rPr>
        <w:t xml:space="preserve">: </w:t>
      </w:r>
      <w:r w:rsidR="008E735D">
        <w:rPr>
          <w:b/>
          <w:lang w:val="fr-CH"/>
        </w:rPr>
        <w:t>avril</w:t>
      </w:r>
      <w:r w:rsidR="00F215A0" w:rsidRPr="00450633">
        <w:rPr>
          <w:b/>
          <w:lang w:val="fr-CH"/>
        </w:rPr>
        <w:t xml:space="preserve"> 20</w:t>
      </w:r>
      <w:r w:rsidR="008E735D">
        <w:rPr>
          <w:b/>
          <w:lang w:val="fr-CH"/>
        </w:rPr>
        <w:t>23</w:t>
      </w:r>
    </w:p>
    <w:p w:rsidR="00F215A0" w:rsidRPr="00114C3B" w:rsidRDefault="00353E93" w:rsidP="00F215A0">
      <w:pPr>
        <w:rPr>
          <w:lang w:val="fr-CH"/>
        </w:rPr>
      </w:pPr>
      <w:r>
        <w:rPr>
          <w:sz w:val="16"/>
          <w:szCs w:val="16"/>
          <w:lang w:val="de-CH"/>
        </w:rPr>
        <w:t>2019.JGK.5063</w:t>
      </w:r>
      <w:r w:rsidR="00F215A0" w:rsidRPr="00114C3B">
        <w:rPr>
          <w:lang w:val="fr-CH"/>
        </w:rPr>
        <w:br w:type="page"/>
      </w:r>
    </w:p>
    <w:p w:rsidR="00B10791" w:rsidRPr="00114C3B" w:rsidRDefault="00B10791">
      <w:pPr>
        <w:rPr>
          <w:lang w:val="fr-CH"/>
        </w:rPr>
      </w:pP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F215A0" w:rsidRPr="005F0794" w:rsidTr="00970919">
        <w:trPr>
          <w:trHeight w:val="20"/>
        </w:trPr>
        <w:tc>
          <w:tcPr>
            <w:tcW w:w="2055" w:type="dxa"/>
            <w:tcBorders>
              <w:top w:val="nil"/>
              <w:left w:val="nil"/>
              <w:bottom w:val="nil"/>
              <w:right w:val="nil"/>
            </w:tcBorders>
          </w:tcPr>
          <w:p w:rsidR="00F215A0" w:rsidRPr="00114C3B"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rPr>
                <w:b/>
                <w:spacing w:val="24"/>
                <w:sz w:val="28"/>
                <w:lang w:val="fr-CH"/>
              </w:rPr>
            </w:pPr>
            <w:r w:rsidRPr="007219E0">
              <w:rPr>
                <w:b/>
                <w:spacing w:val="24"/>
                <w:sz w:val="28"/>
                <w:lang w:val="fr-CH"/>
              </w:rPr>
              <w:t>Règlement du financement spécial «</w:t>
            </w:r>
            <w:r w:rsidR="00574538" w:rsidRPr="00EB7941">
              <w:rPr>
                <w:color w:val="000000"/>
                <w:w w:val="50"/>
                <w:lang w:val="fr-CH"/>
              </w:rPr>
              <w:t> </w:t>
            </w:r>
            <w:r w:rsidRPr="007219E0">
              <w:rPr>
                <w:b/>
                <w:spacing w:val="24"/>
                <w:sz w:val="28"/>
                <w:lang w:val="fr-CH"/>
              </w:rPr>
              <w:t>réserve de fluctuation</w:t>
            </w:r>
            <w:r w:rsidR="00574538" w:rsidRPr="00EB7941">
              <w:rPr>
                <w:color w:val="000000"/>
                <w:w w:val="50"/>
                <w:lang w:val="fr-CH"/>
              </w:rPr>
              <w:t> </w:t>
            </w:r>
            <w:r w:rsidRPr="007219E0">
              <w:rPr>
                <w:b/>
                <w:spacing w:val="24"/>
                <w:sz w:val="28"/>
                <w:lang w:val="fr-CH"/>
              </w:rPr>
              <w:t>»</w:t>
            </w:r>
          </w:p>
        </w:tc>
      </w:tr>
      <w:tr w:rsidR="00F215A0" w:rsidRPr="005F0794" w:rsidTr="00970919">
        <w:trPr>
          <w:trHeight w:val="7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114C3B">
            <w:pPr>
              <w:jc w:val="both"/>
              <w:rPr>
                <w:lang w:val="fr-CH"/>
              </w:rPr>
            </w:pPr>
            <w:r w:rsidRPr="007219E0">
              <w:rPr>
                <w:lang w:val="fr-CH"/>
              </w:rPr>
              <w:br/>
              <w:t>Règlement d</w:t>
            </w:r>
            <w:r w:rsidR="00114C3B">
              <w:rPr>
                <w:lang w:val="fr-CH"/>
              </w:rPr>
              <w:t>e</w:t>
            </w:r>
            <w:r w:rsidRPr="007219E0">
              <w:rPr>
                <w:lang w:val="fr-CH"/>
              </w:rPr>
              <w:t xml:space="preserve"> financement spécial au sens des articles 81a, alinéa 3 et 86 </w:t>
            </w:r>
            <w:proofErr w:type="spellStart"/>
            <w:r w:rsidRPr="007219E0">
              <w:rPr>
                <w:lang w:val="fr-CH"/>
              </w:rPr>
              <w:t>ss</w:t>
            </w:r>
            <w:proofErr w:type="spellEnd"/>
            <w:r w:rsidRPr="007219E0">
              <w:rPr>
                <w:lang w:val="fr-CH"/>
              </w:rPr>
              <w:t xml:space="preserve"> de l’ordonnance du 16 décembre 1998 sur les communes</w:t>
            </w:r>
            <w:r w:rsidRPr="007219E0">
              <w:rPr>
                <w:rStyle w:val="Funotenzeichen"/>
                <w:lang w:val="fr-CH"/>
              </w:rPr>
              <w:footnoteReference w:id="1"/>
            </w: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pStyle w:val="berschrift1"/>
              <w:tabs>
                <w:tab w:val="left" w:pos="922"/>
              </w:tabs>
              <w:jc w:val="both"/>
              <w:rPr>
                <w:lang w:val="fr-CH"/>
              </w:rPr>
            </w:pP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r w:rsidRPr="007219E0">
              <w:rPr>
                <w:sz w:val="18"/>
                <w:lang w:val="fr-CH"/>
              </w:rPr>
              <w:t>But</w:t>
            </w:r>
          </w:p>
        </w:tc>
        <w:tc>
          <w:tcPr>
            <w:tcW w:w="7371" w:type="dxa"/>
            <w:tcBorders>
              <w:top w:val="nil"/>
              <w:left w:val="nil"/>
              <w:bottom w:val="nil"/>
              <w:right w:val="nil"/>
            </w:tcBorders>
          </w:tcPr>
          <w:p w:rsidR="00F215A0" w:rsidRPr="007219E0" w:rsidRDefault="00F215A0" w:rsidP="00970919">
            <w:pPr>
              <w:pStyle w:val="berschrift1"/>
              <w:tabs>
                <w:tab w:val="left" w:pos="922"/>
              </w:tabs>
              <w:jc w:val="both"/>
              <w:rPr>
                <w:lang w:val="fr-CH"/>
              </w:rPr>
            </w:pPr>
            <w:r w:rsidRPr="007219E0">
              <w:rPr>
                <w:lang w:val="fr-CH"/>
              </w:rPr>
              <w:t>Art. 1</w:t>
            </w:r>
            <w:r w:rsidRPr="007219E0">
              <w:rPr>
                <w:b w:val="0"/>
                <w:lang w:val="fr-CH"/>
              </w:rPr>
              <w:tab/>
            </w:r>
            <w:r w:rsidRPr="007219E0">
              <w:rPr>
                <w:rFonts w:cs="Arial"/>
                <w:b w:val="0"/>
                <w:szCs w:val="22"/>
                <w:lang w:val="fr-CH"/>
              </w:rPr>
              <w:t>La réserve de fluctuation est constituée en faveur des placements exposés aux risques inhérents au marché. Elle a pour but de compenser les dépréciations résultant de la réévaluation périodique du patrimoine financier ou les dépréciations effectives durables, ainsi que les pertes du patrimoine financier, afin qu’elles n’entraînent pas de fluctuations excessives du compte de résultats.</w:t>
            </w: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tabs>
                <w:tab w:val="left" w:pos="213"/>
                <w:tab w:val="left" w:pos="922"/>
              </w:tabs>
              <w:jc w:val="both"/>
              <w:rPr>
                <w:lang w:val="fr-CH"/>
              </w:rPr>
            </w:pPr>
          </w:p>
        </w:tc>
      </w:tr>
      <w:tr w:rsidR="00F215A0" w:rsidRPr="00114C3B"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r w:rsidRPr="007219E0">
              <w:rPr>
                <w:sz w:val="18"/>
                <w:lang w:val="fr-CH"/>
              </w:rPr>
              <w:t>Attributions à la réserve de fluctuation</w:t>
            </w:r>
          </w:p>
        </w:tc>
        <w:tc>
          <w:tcPr>
            <w:tcW w:w="7371" w:type="dxa"/>
            <w:tcBorders>
              <w:top w:val="nil"/>
              <w:left w:val="nil"/>
              <w:bottom w:val="nil"/>
              <w:right w:val="nil"/>
            </w:tcBorders>
          </w:tcPr>
          <w:p w:rsidR="00F215A0" w:rsidRPr="007219E0" w:rsidRDefault="00F215A0" w:rsidP="00970919">
            <w:pPr>
              <w:tabs>
                <w:tab w:val="left" w:pos="213"/>
                <w:tab w:val="left" w:pos="922"/>
              </w:tabs>
              <w:jc w:val="both"/>
              <w:rPr>
                <w:rFonts w:cs="Arial"/>
                <w:szCs w:val="22"/>
                <w:lang w:val="fr-CH"/>
              </w:rPr>
            </w:pPr>
            <w:r w:rsidRPr="007219E0">
              <w:rPr>
                <w:b/>
                <w:bCs/>
                <w:lang w:val="fr-CH"/>
              </w:rPr>
              <w:t>Art. 2</w:t>
            </w:r>
          </w:p>
          <w:p w:rsidR="00F215A0" w:rsidRPr="007219E0" w:rsidRDefault="00F215A0" w:rsidP="00970919">
            <w:pPr>
              <w:tabs>
                <w:tab w:val="left" w:pos="213"/>
                <w:tab w:val="left" w:pos="922"/>
              </w:tabs>
              <w:jc w:val="both"/>
              <w:rPr>
                <w:rFonts w:cs="Arial"/>
                <w:szCs w:val="22"/>
                <w:lang w:val="fr-CH"/>
              </w:rPr>
            </w:pPr>
            <w:r w:rsidRPr="007219E0">
              <w:rPr>
                <w:rFonts w:cs="Arial"/>
                <w:szCs w:val="22"/>
                <w:vertAlign w:val="superscript"/>
                <w:lang w:val="fr-CH"/>
              </w:rPr>
              <w:t>1</w:t>
            </w:r>
            <w:r w:rsidR="00114C3B">
              <w:rPr>
                <w:rFonts w:cs="Arial"/>
                <w:szCs w:val="22"/>
                <w:vertAlign w:val="superscript"/>
                <w:lang w:val="fr-CH"/>
              </w:rPr>
              <w:t xml:space="preserve"> </w:t>
            </w:r>
            <w:r w:rsidRPr="007219E0">
              <w:rPr>
                <w:rFonts w:cs="Arial"/>
                <w:szCs w:val="22"/>
                <w:lang w:val="fr-CH"/>
              </w:rPr>
              <w:t xml:space="preserve">Les gains de valorisation résultant de la réévaluation périodique du patrimoine financier au sens de l’article 81, alinéas 2 et 3 </w:t>
            </w:r>
            <w:proofErr w:type="spellStart"/>
            <w:r w:rsidRPr="007219E0">
              <w:rPr>
                <w:rFonts w:cs="Arial"/>
                <w:szCs w:val="22"/>
                <w:lang w:val="fr-CH"/>
              </w:rPr>
              <w:t>OCo</w:t>
            </w:r>
            <w:proofErr w:type="spellEnd"/>
            <w:r w:rsidRPr="007219E0">
              <w:rPr>
                <w:rFonts w:cs="Arial"/>
                <w:szCs w:val="22"/>
                <w:lang w:val="fr-CH"/>
              </w:rPr>
              <w:t xml:space="preserve"> sont attribués à la réserve de fluctuation, intégralement ou en fonction de l’appréciation des risques.</w:t>
            </w:r>
          </w:p>
          <w:p w:rsidR="00F215A0" w:rsidRPr="007219E0" w:rsidRDefault="00F215A0" w:rsidP="00970919">
            <w:pPr>
              <w:tabs>
                <w:tab w:val="left" w:pos="213"/>
                <w:tab w:val="left" w:pos="922"/>
              </w:tabs>
              <w:jc w:val="both"/>
              <w:rPr>
                <w:rFonts w:cs="Arial"/>
                <w:szCs w:val="22"/>
                <w:lang w:val="fr-CH"/>
              </w:rPr>
            </w:pPr>
          </w:p>
          <w:p w:rsidR="00F215A0" w:rsidRPr="007219E0" w:rsidRDefault="00F215A0" w:rsidP="00970919">
            <w:pPr>
              <w:tabs>
                <w:tab w:val="left" w:pos="213"/>
                <w:tab w:val="left" w:pos="922"/>
              </w:tabs>
              <w:jc w:val="both"/>
              <w:rPr>
                <w:rFonts w:cs="Arial"/>
                <w:szCs w:val="22"/>
                <w:lang w:val="fr-CH"/>
              </w:rPr>
            </w:pPr>
            <w:r w:rsidRPr="007219E0">
              <w:rPr>
                <w:rFonts w:cs="Arial"/>
                <w:szCs w:val="22"/>
                <w:lang w:val="fr-CH"/>
              </w:rPr>
              <w:t xml:space="preserve">              </w:t>
            </w:r>
            <w:r w:rsidRPr="007219E0">
              <w:rPr>
                <w:rFonts w:cs="Arial"/>
                <w:b/>
                <w:szCs w:val="22"/>
                <w:lang w:val="fr-CH"/>
              </w:rPr>
              <w:t>Facultatif</w:t>
            </w:r>
            <w:r w:rsidR="00502EA8" w:rsidRPr="00EB7941">
              <w:rPr>
                <w:color w:val="000000"/>
                <w:w w:val="50"/>
                <w:lang w:val="fr-CH"/>
              </w:rPr>
              <w:t> </w:t>
            </w:r>
            <w:r w:rsidRPr="007219E0">
              <w:rPr>
                <w:rFonts w:cs="Arial"/>
                <w:b/>
                <w:szCs w:val="22"/>
                <w:lang w:val="fr-CH"/>
              </w:rPr>
              <w:t>:</w:t>
            </w:r>
          </w:p>
          <w:p w:rsidR="00F215A0" w:rsidRPr="007219E0" w:rsidRDefault="00F215A0" w:rsidP="00970919">
            <w:pPr>
              <w:tabs>
                <w:tab w:val="left" w:pos="213"/>
                <w:tab w:val="left" w:pos="922"/>
              </w:tabs>
              <w:jc w:val="both"/>
              <w:rPr>
                <w:sz w:val="16"/>
                <w:szCs w:val="16"/>
                <w:lang w:val="fr-CH"/>
              </w:rPr>
            </w:pPr>
            <w:r w:rsidRPr="007219E0">
              <w:rPr>
                <w:rFonts w:cs="Arial"/>
                <w:szCs w:val="22"/>
                <w:vertAlign w:val="superscript"/>
                <w:lang w:val="fr-CH"/>
              </w:rPr>
              <w:t>2</w:t>
            </w:r>
            <w:r w:rsidR="00114C3B">
              <w:rPr>
                <w:rFonts w:cs="Arial"/>
                <w:szCs w:val="22"/>
                <w:vertAlign w:val="superscript"/>
                <w:lang w:val="fr-CH"/>
              </w:rPr>
              <w:t xml:space="preserve"> </w:t>
            </w:r>
            <w:r w:rsidRPr="007219E0">
              <w:rPr>
                <w:lang w:val="fr-CH"/>
              </w:rPr>
              <w:t>Le montant maximal de la réserve de fluctuation correspond à xx pour cent de la somme des placements financiers (GM 107) et des immobilisations corporelles du patrimoine financier (GM 108)</w:t>
            </w:r>
            <w:r w:rsidRPr="007219E0">
              <w:rPr>
                <w:rStyle w:val="Funotenzeichen"/>
                <w:sz w:val="20"/>
                <w:lang w:val="fr-CH"/>
              </w:rPr>
              <w:footnoteReference w:id="2"/>
            </w:r>
            <w:r w:rsidRPr="007219E0">
              <w:rPr>
                <w:lang w:val="fr-CH"/>
              </w:rPr>
              <w:t xml:space="preserve">. </w:t>
            </w:r>
            <w:r w:rsidRPr="007219E0">
              <w:rPr>
                <w:sz w:val="16"/>
                <w:szCs w:val="16"/>
                <w:lang w:val="fr-CH"/>
              </w:rPr>
              <w:t>(Valeur indicative: 20 % au plus)</w:t>
            </w:r>
          </w:p>
          <w:p w:rsidR="00F215A0" w:rsidRPr="007219E0" w:rsidRDefault="00F215A0" w:rsidP="00970919">
            <w:pPr>
              <w:tabs>
                <w:tab w:val="left" w:pos="213"/>
                <w:tab w:val="left" w:pos="922"/>
              </w:tabs>
              <w:jc w:val="both"/>
              <w:rPr>
                <w:sz w:val="16"/>
                <w:szCs w:val="16"/>
                <w:lang w:val="fr-CH"/>
              </w:rPr>
            </w:pPr>
          </w:p>
          <w:p w:rsidR="00F215A0" w:rsidRPr="007219E0" w:rsidRDefault="00F215A0" w:rsidP="00970919">
            <w:pPr>
              <w:tabs>
                <w:tab w:val="left" w:pos="213"/>
                <w:tab w:val="left" w:pos="922"/>
              </w:tabs>
              <w:jc w:val="both"/>
              <w:rPr>
                <w:sz w:val="16"/>
                <w:szCs w:val="16"/>
                <w:lang w:val="fr-CH"/>
              </w:rPr>
            </w:pPr>
            <w:r w:rsidRPr="007219E0">
              <w:rPr>
                <w:rFonts w:cs="Arial"/>
                <w:szCs w:val="22"/>
                <w:vertAlign w:val="superscript"/>
                <w:lang w:val="fr-CH"/>
              </w:rPr>
              <w:t>3</w:t>
            </w:r>
            <w:r w:rsidR="00114C3B">
              <w:rPr>
                <w:rFonts w:cs="Arial"/>
                <w:szCs w:val="22"/>
                <w:vertAlign w:val="superscript"/>
                <w:lang w:val="fr-CH"/>
              </w:rPr>
              <w:t xml:space="preserve"> </w:t>
            </w:r>
            <w:r w:rsidRPr="007219E0">
              <w:rPr>
                <w:lang w:val="fr-CH"/>
              </w:rPr>
              <w:t xml:space="preserve">Cinq ans après l’introduction du MCH2, dix pour cent du total des immobilisations financières et cinq pour cent du total des immobilisations corporelles du patrimoine financier de la réserve liée à la réévaluation du patrimoine financier sont transférés dans la réserve de fluctuation (art. T2-3, al. 2, ch. 5 </w:t>
            </w:r>
            <w:proofErr w:type="spellStart"/>
            <w:r w:rsidRPr="007219E0">
              <w:rPr>
                <w:lang w:val="fr-CH"/>
              </w:rPr>
              <w:t>OCo</w:t>
            </w:r>
            <w:proofErr w:type="spellEnd"/>
            <w:r w:rsidRPr="007219E0">
              <w:rPr>
                <w:lang w:val="fr-CH"/>
              </w:rPr>
              <w:t xml:space="preserve">). </w:t>
            </w:r>
          </w:p>
        </w:tc>
      </w:tr>
      <w:tr w:rsidR="00F215A0" w:rsidRPr="00114C3B"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tabs>
                <w:tab w:val="left" w:pos="922"/>
              </w:tabs>
              <w:jc w:val="both"/>
              <w:rPr>
                <w:vertAlign w:val="superscript"/>
                <w:lang w:val="fr-CH"/>
              </w:rPr>
            </w:pP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r w:rsidRPr="007219E0">
              <w:rPr>
                <w:sz w:val="18"/>
                <w:lang w:val="fr-CH"/>
              </w:rPr>
              <w:t>Prélèvements sur la réserve de fluctuation</w:t>
            </w:r>
          </w:p>
        </w:tc>
        <w:tc>
          <w:tcPr>
            <w:tcW w:w="7371" w:type="dxa"/>
            <w:tcBorders>
              <w:top w:val="nil"/>
              <w:left w:val="nil"/>
              <w:bottom w:val="nil"/>
              <w:right w:val="nil"/>
            </w:tcBorders>
          </w:tcPr>
          <w:p w:rsidR="00F215A0" w:rsidRPr="007219E0" w:rsidRDefault="00F215A0" w:rsidP="00970919">
            <w:pPr>
              <w:tabs>
                <w:tab w:val="left" w:pos="213"/>
                <w:tab w:val="left" w:pos="922"/>
              </w:tabs>
              <w:jc w:val="both"/>
              <w:rPr>
                <w:rFonts w:cs="Arial"/>
                <w:szCs w:val="22"/>
                <w:lang w:val="fr-CH"/>
              </w:rPr>
            </w:pPr>
            <w:r w:rsidRPr="007219E0">
              <w:rPr>
                <w:b/>
                <w:bCs/>
                <w:lang w:val="fr-CH"/>
              </w:rPr>
              <w:t>Art. 3</w:t>
            </w:r>
            <w:r w:rsidRPr="007219E0">
              <w:rPr>
                <w:b/>
                <w:bCs/>
                <w:vertAlign w:val="superscript"/>
                <w:lang w:val="fr-CH"/>
              </w:rPr>
              <w:tab/>
            </w:r>
            <w:r w:rsidRPr="007219E0">
              <w:rPr>
                <w:rFonts w:cs="Arial"/>
                <w:szCs w:val="22"/>
                <w:lang w:val="fr-CH"/>
              </w:rPr>
              <w:t xml:space="preserve">Les prélèvements sur la réserve de fluctuation ne sont admissibles que jusqu’à concurrence du montant de la perte résultant d’une réévaluation périodique, ou jusqu’à concurrence du montant de la rectification faisant suite à une dépréciation effective durable du patrimoine financier ou à une perte subie par ce patrimoine (art. 81a, al. 2 </w:t>
            </w:r>
            <w:proofErr w:type="spellStart"/>
            <w:r w:rsidRPr="007219E0">
              <w:rPr>
                <w:rFonts w:cs="Arial"/>
                <w:szCs w:val="22"/>
                <w:lang w:val="fr-CH"/>
              </w:rPr>
              <w:t>OCo</w:t>
            </w:r>
            <w:proofErr w:type="spellEnd"/>
            <w:r w:rsidRPr="007219E0">
              <w:rPr>
                <w:rFonts w:cs="Arial"/>
                <w:szCs w:val="22"/>
                <w:lang w:val="fr-CH"/>
              </w:rPr>
              <w:t>).</w:t>
            </w:r>
            <w:r>
              <w:rPr>
                <w:rFonts w:cs="Arial"/>
                <w:szCs w:val="22"/>
                <w:lang w:val="fr-CH"/>
              </w:rPr>
              <w:t xml:space="preserve"> </w:t>
            </w: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tabs>
                <w:tab w:val="left" w:pos="213"/>
                <w:tab w:val="left" w:pos="922"/>
              </w:tabs>
              <w:jc w:val="both"/>
              <w:rPr>
                <w:b/>
                <w:bCs/>
                <w:lang w:val="fr-CH"/>
              </w:rPr>
            </w:pP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r w:rsidRPr="007219E0">
              <w:rPr>
                <w:sz w:val="18"/>
                <w:lang w:val="fr-CH"/>
              </w:rPr>
              <w:t>Solde de la réserve de fluctuation</w:t>
            </w:r>
          </w:p>
        </w:tc>
        <w:tc>
          <w:tcPr>
            <w:tcW w:w="7371" w:type="dxa"/>
            <w:tcBorders>
              <w:top w:val="nil"/>
              <w:left w:val="nil"/>
              <w:bottom w:val="nil"/>
              <w:right w:val="nil"/>
            </w:tcBorders>
          </w:tcPr>
          <w:p w:rsidR="00F215A0" w:rsidRPr="007219E0" w:rsidRDefault="00F215A0" w:rsidP="00970919">
            <w:pPr>
              <w:tabs>
                <w:tab w:val="left" w:pos="213"/>
                <w:tab w:val="left" w:pos="922"/>
              </w:tabs>
              <w:jc w:val="both"/>
              <w:rPr>
                <w:b/>
                <w:bCs/>
                <w:color w:val="0070C0"/>
                <w:lang w:val="fr-CH"/>
              </w:rPr>
            </w:pPr>
            <w:r w:rsidRPr="007219E0">
              <w:rPr>
                <w:b/>
                <w:bCs/>
                <w:lang w:val="fr-CH"/>
              </w:rPr>
              <w:t>Art. 4</w:t>
            </w:r>
            <w:r w:rsidRPr="007219E0">
              <w:rPr>
                <w:bCs/>
                <w:vertAlign w:val="superscript"/>
                <w:lang w:val="fr-CH"/>
              </w:rPr>
              <w:tab/>
            </w:r>
            <w:r w:rsidRPr="007219E0">
              <w:rPr>
                <w:rFonts w:cs="Arial"/>
                <w:szCs w:val="22"/>
                <w:lang w:val="fr-CH"/>
              </w:rPr>
              <w:t>Le solde de la réserve de fluctuation ne doit pas être négatif. Il fait partie intégrante des réserves du groupe de matière</w:t>
            </w:r>
            <w:r>
              <w:rPr>
                <w:rFonts w:cs="Arial"/>
                <w:szCs w:val="22"/>
                <w:lang w:val="fr-CH"/>
              </w:rPr>
              <w:t>s</w:t>
            </w:r>
            <w:r w:rsidRPr="007219E0">
              <w:rPr>
                <w:rFonts w:cs="Arial"/>
                <w:szCs w:val="22"/>
                <w:lang w:val="fr-CH"/>
              </w:rPr>
              <w:t xml:space="preserve"> 296 et ne porte pas intérêt. </w:t>
            </w: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tabs>
                <w:tab w:val="left" w:pos="922"/>
              </w:tabs>
              <w:jc w:val="both"/>
              <w:rPr>
                <w:vertAlign w:val="superscript"/>
                <w:lang w:val="fr-CH"/>
              </w:rPr>
            </w:pPr>
          </w:p>
        </w:tc>
      </w:tr>
      <w:tr w:rsidR="00F215A0" w:rsidRPr="007219E0"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r w:rsidRPr="007219E0">
              <w:rPr>
                <w:sz w:val="18"/>
                <w:lang w:val="fr-CH"/>
              </w:rPr>
              <w:t>Compétence</w:t>
            </w:r>
          </w:p>
        </w:tc>
        <w:tc>
          <w:tcPr>
            <w:tcW w:w="7371" w:type="dxa"/>
            <w:tcBorders>
              <w:top w:val="nil"/>
              <w:left w:val="nil"/>
              <w:bottom w:val="nil"/>
              <w:right w:val="nil"/>
            </w:tcBorders>
          </w:tcPr>
          <w:p w:rsidR="00F215A0" w:rsidRPr="007219E0" w:rsidRDefault="00F215A0" w:rsidP="00970919">
            <w:pPr>
              <w:tabs>
                <w:tab w:val="left" w:pos="922"/>
              </w:tabs>
              <w:jc w:val="both"/>
              <w:rPr>
                <w:vertAlign w:val="superscript"/>
                <w:lang w:val="fr-CH"/>
              </w:rPr>
            </w:pPr>
            <w:r w:rsidRPr="007219E0">
              <w:rPr>
                <w:b/>
                <w:bCs/>
                <w:lang w:val="fr-CH"/>
              </w:rPr>
              <w:t>Art. 5</w:t>
            </w:r>
            <w:r w:rsidRPr="007219E0">
              <w:rPr>
                <w:vertAlign w:val="superscript"/>
                <w:lang w:val="fr-CH"/>
              </w:rPr>
              <w:tab/>
            </w:r>
            <w:r w:rsidRPr="007219E0">
              <w:rPr>
                <w:lang w:val="fr-CH"/>
              </w:rPr>
              <w:t xml:space="preserve">Le conseil communal fixe chaque année le montant de l’attribution à la réserve de fluctuation. Il est par ailleurs compétent pour décider des prélèvements. </w:t>
            </w:r>
          </w:p>
        </w:tc>
      </w:tr>
      <w:tr w:rsidR="00F215A0" w:rsidRPr="007219E0" w:rsidTr="00970919">
        <w:trPr>
          <w:trHeight w:val="20"/>
        </w:trPr>
        <w:tc>
          <w:tcPr>
            <w:tcW w:w="2055" w:type="dxa"/>
            <w:tcBorders>
              <w:top w:val="nil"/>
              <w:left w:val="nil"/>
              <w:bottom w:val="nil"/>
              <w:right w:val="nil"/>
            </w:tcBorders>
          </w:tcPr>
          <w:p w:rsidR="00F215A0" w:rsidRPr="007219E0" w:rsidRDefault="00F215A0" w:rsidP="00970919">
            <w:pPr>
              <w:rPr>
                <w:sz w:val="18"/>
                <w:lang w:val="fr-CH"/>
              </w:rPr>
            </w:pPr>
          </w:p>
        </w:tc>
        <w:tc>
          <w:tcPr>
            <w:tcW w:w="7371" w:type="dxa"/>
            <w:tcBorders>
              <w:top w:val="nil"/>
              <w:left w:val="nil"/>
              <w:bottom w:val="nil"/>
              <w:right w:val="nil"/>
            </w:tcBorders>
          </w:tcPr>
          <w:p w:rsidR="00F215A0" w:rsidRPr="007219E0" w:rsidRDefault="00F215A0" w:rsidP="00970919">
            <w:pPr>
              <w:tabs>
                <w:tab w:val="left" w:pos="213"/>
                <w:tab w:val="left" w:pos="922"/>
              </w:tabs>
              <w:jc w:val="both"/>
              <w:rPr>
                <w:vertAlign w:val="superscript"/>
                <w:lang w:val="fr-CH"/>
              </w:rPr>
            </w:pPr>
          </w:p>
        </w:tc>
      </w:tr>
      <w:tr w:rsidR="00F215A0" w:rsidRPr="005F0794" w:rsidTr="00970919">
        <w:trPr>
          <w:trHeight w:val="20"/>
        </w:trPr>
        <w:tc>
          <w:tcPr>
            <w:tcW w:w="2055" w:type="dxa"/>
            <w:tcBorders>
              <w:top w:val="nil"/>
              <w:left w:val="nil"/>
              <w:bottom w:val="nil"/>
              <w:right w:val="nil"/>
            </w:tcBorders>
          </w:tcPr>
          <w:p w:rsidR="00F215A0" w:rsidRPr="007219E0" w:rsidRDefault="00F215A0" w:rsidP="00970919">
            <w:pPr>
              <w:rPr>
                <w:sz w:val="18"/>
                <w:highlight w:val="lightGray"/>
                <w:lang w:val="fr-CH"/>
              </w:rPr>
            </w:pPr>
            <w:r w:rsidRPr="007219E0">
              <w:rPr>
                <w:sz w:val="18"/>
                <w:lang w:val="fr-CH"/>
              </w:rPr>
              <w:t>Entrée en vigueur</w:t>
            </w:r>
          </w:p>
        </w:tc>
        <w:tc>
          <w:tcPr>
            <w:tcW w:w="7371" w:type="dxa"/>
            <w:tcBorders>
              <w:top w:val="nil"/>
              <w:left w:val="nil"/>
              <w:bottom w:val="nil"/>
              <w:right w:val="nil"/>
            </w:tcBorders>
          </w:tcPr>
          <w:p w:rsidR="00F215A0" w:rsidRPr="007219E0" w:rsidRDefault="00F215A0" w:rsidP="00970919">
            <w:pPr>
              <w:tabs>
                <w:tab w:val="left" w:pos="213"/>
                <w:tab w:val="left" w:pos="922"/>
              </w:tabs>
              <w:jc w:val="both"/>
              <w:rPr>
                <w:lang w:val="fr-CH"/>
              </w:rPr>
            </w:pPr>
            <w:r w:rsidRPr="007219E0">
              <w:rPr>
                <w:b/>
                <w:bCs/>
                <w:lang w:val="fr-CH"/>
              </w:rPr>
              <w:t>Art. 6</w:t>
            </w:r>
            <w:r w:rsidRPr="007219E0">
              <w:rPr>
                <w:vertAlign w:val="superscript"/>
                <w:lang w:val="fr-CH"/>
              </w:rPr>
              <w:tab/>
            </w:r>
            <w:r w:rsidRPr="007219E0">
              <w:rPr>
                <w:lang w:val="fr-CH"/>
              </w:rPr>
              <w:t xml:space="preserve">Le présent règlement entre en vigueur le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w:t>
            </w:r>
          </w:p>
        </w:tc>
      </w:tr>
    </w:tbl>
    <w:p w:rsidR="00F215A0" w:rsidRPr="007219E0" w:rsidRDefault="00F215A0">
      <w:pPr>
        <w:rPr>
          <w:lang w:val="fr-CH"/>
        </w:rPr>
      </w:pPr>
    </w:p>
    <w:p w:rsidR="00CA3929" w:rsidRPr="007219E0" w:rsidRDefault="00CA3929" w:rsidP="00CA3929">
      <w:pPr>
        <w:rPr>
          <w:lang w:val="fr-CH"/>
        </w:rPr>
      </w:pPr>
      <w:r w:rsidRPr="007219E0">
        <w:rPr>
          <w:lang w:val="fr-CH"/>
        </w:rPr>
        <w:t xml:space="preserve">Le présent règlement a été arrêté le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par l’assemblée communale.</w:t>
      </w:r>
    </w:p>
    <w:p w:rsidR="00CA3929" w:rsidRPr="007219E0" w:rsidRDefault="00CA3929" w:rsidP="00CA3929">
      <w:pPr>
        <w:rPr>
          <w:lang w:val="fr-CH"/>
        </w:rPr>
      </w:pPr>
    </w:p>
    <w:p w:rsidR="00CA3929" w:rsidRPr="007219E0" w:rsidRDefault="00CA3929" w:rsidP="00CA3929">
      <w:pPr>
        <w:rPr>
          <w:lang w:val="fr-CH"/>
        </w:rPr>
      </w:pPr>
    </w:p>
    <w:p w:rsidR="00CA3929" w:rsidRPr="007219E0" w:rsidRDefault="00CA3929" w:rsidP="00450633">
      <w:pPr>
        <w:pStyle w:val="Kopfzeile"/>
        <w:tabs>
          <w:tab w:val="clear" w:pos="4536"/>
          <w:tab w:val="clear" w:pos="9072"/>
          <w:tab w:val="left" w:pos="3402"/>
        </w:tabs>
        <w:rPr>
          <w:lang w:val="fr-CH"/>
        </w:rPr>
      </w:pP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le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ab/>
        <w:t xml:space="preserve">Le/la </w:t>
      </w:r>
      <w:r w:rsidR="008F0204">
        <w:rPr>
          <w:lang w:val="fr-CH"/>
        </w:rPr>
        <w:t>président(e)</w:t>
      </w:r>
      <w:r w:rsidR="008F0204" w:rsidRPr="00EB7941">
        <w:rPr>
          <w:color w:val="000000"/>
          <w:w w:val="50"/>
          <w:lang w:val="fr-CH"/>
        </w:rPr>
        <w:t> </w:t>
      </w:r>
      <w:r w:rsidR="00502EA8">
        <w:rPr>
          <w:lang w:val="fr-CH"/>
        </w:rPr>
        <w:t>:</w:t>
      </w:r>
      <w:r w:rsidRPr="007219E0">
        <w:rPr>
          <w:lang w:val="fr-CH"/>
        </w:rPr>
        <w:tab/>
        <w:t>Le/la secrétaire</w:t>
      </w:r>
      <w:r w:rsidR="00502EA8" w:rsidRPr="00EB7941">
        <w:rPr>
          <w:color w:val="000000"/>
          <w:w w:val="50"/>
          <w:lang w:val="fr-CH"/>
        </w:rPr>
        <w:t> </w:t>
      </w:r>
      <w:r w:rsidR="00502EA8">
        <w:rPr>
          <w:lang w:val="fr-CH"/>
        </w:rPr>
        <w:t>:</w:t>
      </w:r>
    </w:p>
    <w:p w:rsidR="00D4357B" w:rsidRPr="007219E0" w:rsidRDefault="00D4357B">
      <w:pPr>
        <w:pStyle w:val="Kopfzeile"/>
        <w:tabs>
          <w:tab w:val="clear" w:pos="4536"/>
          <w:tab w:val="clear" w:pos="9072"/>
          <w:tab w:val="left" w:pos="3402"/>
          <w:tab w:val="left" w:pos="6521"/>
        </w:tabs>
        <w:rPr>
          <w:lang w:val="fr-CH"/>
        </w:rPr>
      </w:pPr>
    </w:p>
    <w:p w:rsidR="00D4357B" w:rsidRPr="007219E0" w:rsidRDefault="00D4357B">
      <w:pPr>
        <w:pStyle w:val="Kopfzeile"/>
        <w:tabs>
          <w:tab w:val="clear" w:pos="4536"/>
          <w:tab w:val="clear" w:pos="9072"/>
          <w:tab w:val="left" w:pos="3402"/>
          <w:tab w:val="left" w:pos="5812"/>
          <w:tab w:val="left" w:pos="6521"/>
          <w:tab w:val="left" w:pos="8931"/>
        </w:tabs>
        <w:rPr>
          <w:u w:val="single"/>
          <w:lang w:val="fr-CH"/>
        </w:rPr>
      </w:pPr>
      <w:r w:rsidRPr="007219E0">
        <w:rPr>
          <w:lang w:val="fr-CH"/>
        </w:rPr>
        <w:tab/>
      </w:r>
      <w:r w:rsidRPr="007219E0">
        <w:rPr>
          <w:u w:val="single"/>
          <w:lang w:val="fr-CH"/>
        </w:rPr>
        <w:tab/>
      </w:r>
      <w:r w:rsidRPr="007219E0">
        <w:rPr>
          <w:lang w:val="fr-CH"/>
        </w:rPr>
        <w:tab/>
      </w:r>
      <w:r w:rsidRPr="007219E0">
        <w:rPr>
          <w:u w:val="single"/>
          <w:lang w:val="fr-CH"/>
        </w:rPr>
        <w:tab/>
      </w:r>
    </w:p>
    <w:p w:rsidR="001D46A0" w:rsidRPr="007219E0" w:rsidRDefault="00D818C4" w:rsidP="001D46A0">
      <w:pPr>
        <w:rPr>
          <w:b/>
          <w:bCs/>
          <w:sz w:val="24"/>
          <w:highlight w:val="cyan"/>
          <w:lang w:val="fr-CH"/>
        </w:rPr>
      </w:pPr>
      <w:r w:rsidRPr="007219E0">
        <w:rPr>
          <w:b/>
          <w:bCs/>
          <w:sz w:val="24"/>
          <w:lang w:val="fr-CH"/>
        </w:rPr>
        <w:br w:type="page"/>
      </w:r>
      <w:r w:rsidR="001D46A0" w:rsidRPr="007219E0">
        <w:rPr>
          <w:b/>
          <w:bCs/>
          <w:sz w:val="24"/>
          <w:lang w:val="fr-CH"/>
        </w:rPr>
        <w:lastRenderedPageBreak/>
        <w:t>Certificat de dépôt public</w:t>
      </w:r>
    </w:p>
    <w:p w:rsidR="001D46A0" w:rsidRPr="007219E0" w:rsidRDefault="001D46A0" w:rsidP="001D46A0">
      <w:pPr>
        <w:rPr>
          <w:lang w:val="fr-CH"/>
        </w:rPr>
      </w:pPr>
    </w:p>
    <w:p w:rsidR="001D46A0" w:rsidRPr="007219E0" w:rsidRDefault="001D46A0" w:rsidP="001D46A0">
      <w:pPr>
        <w:rPr>
          <w:lang w:val="fr-CH"/>
        </w:rPr>
      </w:pPr>
      <w:r w:rsidRPr="007219E0">
        <w:rPr>
          <w:lang w:val="fr-CH"/>
        </w:rPr>
        <w:t xml:space="preserve">Le/la secrétaire a déposé publiquement le présent règlement </w:t>
      </w:r>
      <w:r w:rsidR="00100745">
        <w:rPr>
          <w:lang w:val="fr-CH"/>
        </w:rPr>
        <w:t>au secrétariat</w:t>
      </w:r>
      <w:r w:rsidRPr="007219E0">
        <w:rPr>
          <w:lang w:val="fr-CH"/>
        </w:rPr>
        <w:t xml:space="preserve"> communal du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w:t>
      </w:r>
      <w:proofErr w:type="spellStart"/>
      <w:r w:rsidRPr="007219E0">
        <w:rPr>
          <w:lang w:val="fr-CH"/>
        </w:rPr>
        <w:t>au</w:t>
      </w:r>
      <w:proofErr w:type="spellEnd"/>
      <w:r w:rsidRPr="007219E0">
        <w:rPr>
          <w:lang w:val="fr-CH"/>
        </w:rPr>
        <w:t xml:space="preserv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w:t>
      </w:r>
      <w:r w:rsidR="00100745">
        <w:rPr>
          <w:lang w:val="fr-CH"/>
        </w:rPr>
        <w:t>durant</w:t>
      </w:r>
      <w:r w:rsidR="00100745" w:rsidRPr="007219E0">
        <w:rPr>
          <w:lang w:val="fr-CH"/>
        </w:rPr>
        <w:t xml:space="preserve"> </w:t>
      </w:r>
      <w:r w:rsidRPr="007219E0">
        <w:rPr>
          <w:lang w:val="fr-CH"/>
        </w:rPr>
        <w:t xml:space="preserve">les 30 jours </w:t>
      </w:r>
      <w:r w:rsidR="00100745">
        <w:rPr>
          <w:lang w:val="fr-CH"/>
        </w:rPr>
        <w:t xml:space="preserve">qui ont </w:t>
      </w:r>
      <w:r w:rsidRPr="007219E0">
        <w:rPr>
          <w:lang w:val="fr-CH"/>
        </w:rPr>
        <w:t>précéd</w:t>
      </w:r>
      <w:r w:rsidR="00100745">
        <w:rPr>
          <w:lang w:val="fr-CH"/>
        </w:rPr>
        <w:t>é</w:t>
      </w:r>
      <w:r w:rsidRPr="007219E0">
        <w:rPr>
          <w:lang w:val="fr-CH"/>
        </w:rPr>
        <w:t xml:space="preserve"> la décision de l'assemblée). Il/elle a </w:t>
      </w:r>
      <w:r w:rsidR="00100745">
        <w:rPr>
          <w:lang w:val="fr-CH"/>
        </w:rPr>
        <w:t>annoncé</w:t>
      </w:r>
      <w:r w:rsidRPr="007219E0">
        <w:rPr>
          <w:lang w:val="fr-CH"/>
        </w:rPr>
        <w:t xml:space="preserve"> le dépôt public dans l</w:t>
      </w:r>
      <w:r w:rsidR="008E735D">
        <w:rPr>
          <w:lang w:val="fr-CH"/>
        </w:rPr>
        <w:t>’organe de publication officiel</w:t>
      </w:r>
      <w:r w:rsidR="00F83E87">
        <w:rPr>
          <w:lang w:val="fr-CH"/>
        </w:rPr>
        <w:t xml:space="preserve"> de la commune </w:t>
      </w:r>
      <w:r w:rsidR="00F80524">
        <w:rPr>
          <w:lang w:val="fr-CH"/>
        </w:rPr>
        <w:t xml:space="preserve"> </w:t>
      </w:r>
      <w:r w:rsidR="008E735D">
        <w:rPr>
          <w:lang w:val="fr-CH"/>
        </w:rPr>
        <w:t>le</w:t>
      </w:r>
      <w:r w:rsidRPr="007219E0">
        <w:rPr>
          <w:lang w:val="fr-CH"/>
        </w:rPr>
        <w:t xml:space="preserv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w:t>
      </w:r>
    </w:p>
    <w:p w:rsidR="001D46A0" w:rsidRPr="007219E0" w:rsidRDefault="001D46A0" w:rsidP="001D46A0">
      <w:pPr>
        <w:rPr>
          <w:lang w:val="fr-CH"/>
        </w:rPr>
      </w:pPr>
    </w:p>
    <w:p w:rsidR="001D46A0" w:rsidRPr="007219E0" w:rsidRDefault="001D46A0" w:rsidP="001D46A0">
      <w:pPr>
        <w:rPr>
          <w:lang w:val="fr-CH"/>
        </w:rPr>
      </w:pPr>
    </w:p>
    <w:p w:rsidR="001D46A0" w:rsidRPr="007219E0" w:rsidRDefault="001D46A0" w:rsidP="001D46A0">
      <w:pPr>
        <w:pStyle w:val="Kopfzeile"/>
        <w:tabs>
          <w:tab w:val="clear" w:pos="4536"/>
          <w:tab w:val="clear" w:pos="9072"/>
          <w:tab w:val="left" w:pos="3402"/>
          <w:tab w:val="left" w:pos="6521"/>
        </w:tabs>
        <w:rPr>
          <w:lang w:val="fr-CH"/>
        </w:rPr>
      </w:pP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le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ab/>
        <w:t>Le/la secrétaire</w:t>
      </w:r>
      <w:r w:rsidR="00502EA8" w:rsidRPr="00EB7941">
        <w:rPr>
          <w:color w:val="000000"/>
          <w:w w:val="50"/>
          <w:lang w:val="fr-CH"/>
        </w:rPr>
        <w:t> </w:t>
      </w:r>
      <w:r w:rsidRPr="007219E0">
        <w:rPr>
          <w:lang w:val="fr-CH"/>
        </w:rPr>
        <w:t>:</w:t>
      </w:r>
    </w:p>
    <w:p w:rsidR="00D4357B" w:rsidRPr="007219E0" w:rsidRDefault="00D4357B" w:rsidP="001D46A0">
      <w:pPr>
        <w:pStyle w:val="Listenabsatz"/>
        <w:rPr>
          <w:lang w:val="fr-CH"/>
        </w:rPr>
      </w:pPr>
    </w:p>
    <w:p w:rsidR="00D4357B" w:rsidRPr="007219E0" w:rsidRDefault="00D4357B">
      <w:pPr>
        <w:pStyle w:val="Kopfzeile"/>
        <w:tabs>
          <w:tab w:val="clear" w:pos="4536"/>
          <w:tab w:val="clear" w:pos="9072"/>
          <w:tab w:val="left" w:pos="3402"/>
          <w:tab w:val="left" w:pos="6521"/>
        </w:tabs>
        <w:rPr>
          <w:lang w:val="fr-CH"/>
        </w:rPr>
      </w:pPr>
    </w:p>
    <w:p w:rsidR="00D4357B" w:rsidRPr="007219E0" w:rsidRDefault="00D4357B">
      <w:pPr>
        <w:pStyle w:val="Kopfzeile"/>
        <w:tabs>
          <w:tab w:val="clear" w:pos="4536"/>
          <w:tab w:val="clear" w:pos="9072"/>
          <w:tab w:val="left" w:pos="3402"/>
          <w:tab w:val="left" w:pos="5812"/>
          <w:tab w:val="left" w:pos="6521"/>
          <w:tab w:val="left" w:pos="8931"/>
        </w:tabs>
        <w:rPr>
          <w:u w:val="single"/>
          <w:lang w:val="fr-CH"/>
        </w:rPr>
      </w:pPr>
      <w:r w:rsidRPr="007219E0">
        <w:rPr>
          <w:lang w:val="fr-CH"/>
        </w:rPr>
        <w:tab/>
      </w:r>
      <w:r w:rsidRPr="007219E0">
        <w:rPr>
          <w:u w:val="single"/>
          <w:lang w:val="fr-CH"/>
        </w:rPr>
        <w:tab/>
      </w:r>
    </w:p>
    <w:p w:rsidR="00D4357B" w:rsidRPr="007219E0" w:rsidRDefault="00D4357B">
      <w:pPr>
        <w:rPr>
          <w:lang w:val="fr-CH"/>
        </w:rPr>
      </w:pPr>
    </w:p>
    <w:p w:rsidR="00AF1334" w:rsidRPr="007219E0" w:rsidRDefault="00AF1334">
      <w:pPr>
        <w:rPr>
          <w:lang w:val="fr-CH"/>
        </w:rPr>
      </w:pPr>
    </w:p>
    <w:p w:rsidR="00AF1334" w:rsidRPr="007219E0" w:rsidRDefault="00AF1334">
      <w:pPr>
        <w:rPr>
          <w:lang w:val="fr-CH"/>
        </w:rPr>
      </w:pPr>
    </w:p>
    <w:p w:rsidR="00AF1334" w:rsidRPr="007219E0" w:rsidRDefault="00AF1334" w:rsidP="00AF1334">
      <w:pPr>
        <w:rPr>
          <w:lang w:val="fr-CH"/>
        </w:rPr>
      </w:pPr>
    </w:p>
    <w:sectPr w:rsidR="00AF1334" w:rsidRPr="007219E0" w:rsidSect="00F215A0">
      <w:footerReference w:type="default" r:id="rId8"/>
      <w:footerReference w:type="first" r:id="rId9"/>
      <w:pgSz w:w="11907" w:h="16840" w:code="9"/>
      <w:pgMar w:top="709" w:right="1134" w:bottom="1021" w:left="1418" w:header="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37" w:rsidRDefault="00017B37">
      <w:r>
        <w:separator/>
      </w:r>
    </w:p>
  </w:endnote>
  <w:endnote w:type="continuationSeparator" w:id="0">
    <w:p w:rsidR="00017B37" w:rsidRDefault="0001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C4" w:rsidRPr="005C6E1F" w:rsidRDefault="00D818C4">
    <w:pPr>
      <w:pStyle w:val="Fuzeile"/>
      <w:tabs>
        <w:tab w:val="clear" w:pos="4536"/>
        <w:tab w:val="clear" w:pos="9072"/>
        <w:tab w:val="right" w:pos="9356"/>
      </w:tabs>
      <w:rPr>
        <w:szCs w:val="22"/>
      </w:rPr>
    </w:pPr>
    <w:r w:rsidRPr="005C6E1F">
      <w:rPr>
        <w:szCs w:val="22"/>
      </w:rPr>
      <w:tab/>
    </w:r>
    <w:r w:rsidRPr="005C6E1F">
      <w:rPr>
        <w:rStyle w:val="Seitenzahl"/>
        <w:szCs w:val="22"/>
      </w:rPr>
      <w:fldChar w:fldCharType="begin"/>
    </w:r>
    <w:r w:rsidRPr="005C6E1F">
      <w:rPr>
        <w:rStyle w:val="Seitenzahl"/>
        <w:szCs w:val="22"/>
      </w:rPr>
      <w:instrText xml:space="preserve"> PAGE </w:instrText>
    </w:r>
    <w:r w:rsidRPr="005C6E1F">
      <w:rPr>
        <w:rStyle w:val="Seitenzahl"/>
        <w:szCs w:val="22"/>
      </w:rPr>
      <w:fldChar w:fldCharType="separate"/>
    </w:r>
    <w:r w:rsidR="0039310E">
      <w:rPr>
        <w:rStyle w:val="Seitenzahl"/>
        <w:noProof/>
        <w:szCs w:val="22"/>
      </w:rPr>
      <w:t>3</w:t>
    </w:r>
    <w:r w:rsidRPr="005C6E1F">
      <w:rPr>
        <w:rStyle w:val="Seitenzah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C4" w:rsidRPr="000B7776" w:rsidRDefault="00D818C4">
    <w:pPr>
      <w:pStyle w:val="Fuzeile"/>
      <w:tabs>
        <w:tab w:val="clear" w:pos="4536"/>
      </w:tabs>
      <w:rPr>
        <w:sz w:val="16"/>
        <w:lang w:val="en-US"/>
      </w:rPr>
    </w:pPr>
    <w:r w:rsidRPr="000B7776">
      <w:rPr>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37" w:rsidRDefault="00017B37">
      <w:r>
        <w:separator/>
      </w:r>
    </w:p>
  </w:footnote>
  <w:footnote w:type="continuationSeparator" w:id="0">
    <w:p w:rsidR="00017B37" w:rsidRDefault="00017B37">
      <w:r>
        <w:continuationSeparator/>
      </w:r>
    </w:p>
  </w:footnote>
  <w:footnote w:id="1">
    <w:p w:rsidR="00F215A0" w:rsidRPr="006F2415" w:rsidRDefault="00F215A0" w:rsidP="00F215A0">
      <w:pPr>
        <w:pStyle w:val="Funotentext"/>
        <w:tabs>
          <w:tab w:val="left" w:pos="284"/>
        </w:tabs>
        <w:rPr>
          <w:sz w:val="16"/>
          <w:lang w:val="fr-CH"/>
        </w:rPr>
      </w:pPr>
      <w:r w:rsidRPr="001D46A0">
        <w:rPr>
          <w:rStyle w:val="Funotenzeichen"/>
          <w:sz w:val="16"/>
        </w:rPr>
        <w:footnoteRef/>
      </w:r>
      <w:r w:rsidRPr="006F2415">
        <w:rPr>
          <w:sz w:val="16"/>
          <w:lang w:val="fr-CH"/>
        </w:rPr>
        <w:t xml:space="preserve"> RSB 170.111</w:t>
      </w:r>
    </w:p>
  </w:footnote>
  <w:footnote w:id="2">
    <w:p w:rsidR="00F215A0" w:rsidRPr="007219E0" w:rsidRDefault="00F215A0" w:rsidP="00F215A0">
      <w:pPr>
        <w:pStyle w:val="Funotentext"/>
        <w:tabs>
          <w:tab w:val="left" w:pos="284"/>
        </w:tabs>
        <w:ind w:left="142" w:hanging="142"/>
        <w:rPr>
          <w:lang w:val="fr-CH"/>
        </w:rPr>
      </w:pPr>
      <w:r w:rsidRPr="00BC4DAB">
        <w:rPr>
          <w:rStyle w:val="Funotenzeichen"/>
          <w:sz w:val="16"/>
          <w:szCs w:val="16"/>
        </w:rPr>
        <w:footnoteRef/>
      </w:r>
      <w:r w:rsidRPr="006F2415">
        <w:rPr>
          <w:sz w:val="16"/>
          <w:szCs w:val="16"/>
          <w:lang w:val="fr-CH"/>
        </w:rPr>
        <w:t xml:space="preserve"> L’attribution au sens de l’article 2, alinéa 3 du présent règlement est </w:t>
      </w:r>
      <w:r>
        <w:rPr>
          <w:sz w:val="16"/>
          <w:szCs w:val="16"/>
          <w:lang w:val="fr-CH"/>
        </w:rPr>
        <w:t>obligatoire</w:t>
      </w:r>
      <w:r w:rsidRPr="006F2415">
        <w:rPr>
          <w:sz w:val="16"/>
          <w:szCs w:val="16"/>
          <w:lang w:val="fr-CH"/>
        </w:rPr>
        <w:t>.</w:t>
      </w:r>
      <w:r>
        <w:rPr>
          <w:sz w:val="16"/>
          <w:szCs w:val="16"/>
          <w:lang w:val="fr-CH"/>
        </w:rPr>
        <w:t xml:space="preserve"> </w:t>
      </w:r>
      <w:r w:rsidRPr="00E43249">
        <w:rPr>
          <w:sz w:val="16"/>
          <w:szCs w:val="16"/>
          <w:lang w:val="fr-CH"/>
        </w:rPr>
        <w:t xml:space="preserve">Si un montant maximal de la réserve est prévu, il convient de veiller à ce qu’il ne soit pas dépassé au moment de l’attribution provenant de la réserve liée à la réévaluation.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D5F5F"/>
    <w:multiLevelType w:val="hybridMultilevel"/>
    <w:tmpl w:val="04EC5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F96663"/>
    <w:multiLevelType w:val="hybridMultilevel"/>
    <w:tmpl w:val="49B40E5A"/>
    <w:lvl w:ilvl="0" w:tplc="82A4626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161206"/>
    <w:docVar w:name="TermBaseURL" w:val="empty"/>
    <w:docVar w:name="TextBases" w:val="S3011IIS000PG68.sta.be.ch\JCE\JCE_valide|S3011IIS000PG68.sta.be.ch\JCE\JCE_interne|S3011IIS000PG68.sta.be.ch\JCE\JCE_Temporaire|S3011IIS000PG68.sta.be.ch\JCE\kontenrahmen-v5|S3011IIS000PG68.sta.be.ch\JCE\plancomptable|S3011IIS000PG68.sta.be.ch\Canton de Berne\BELEX 2016 (LexWork)|S3011IIS000PG68.sta.be.ch\Canton de Berne\BSIG|S3011IIS000PG68.sta.be.ch\Canton de Berne\Canton de Berne|S3011IIS000PG68.sta.be.ch\Canton de Berne\Conf_2016-12|S3011IIS000PG68.sta.be.ch\CHA\CHA_valide|S3011IIS000PG68.sta.be.ch\ECO\ECO_valide|S3011IIS000PG68.sta.be.ch\FIN-ICI\FIN-ICI_valide|S3011IIS000PG68.sta.be.ch\FIN-SG\FIN-SG_valide|S3011IIS000PG68.sta.be.ch\INS\INS_valide|S3011IIS000PG68.sta.be.ch\POM\POM_valide|S3011IIS000PG68.sta.be.ch\SAP\SAP_valide|S3011IIS000PG68.sta.be.ch\TTE\TTE_valide|S3011IIS000PG68.sta.be.ch\Canton de Berne\BELEX_Historique|S3011IIS000PG68.sta.be.ch\Canton de Berne\Dubious_Aliens"/>
    <w:docVar w:name="TextBaseURL" w:val="empty"/>
    <w:docVar w:name="UILng" w:val="fr"/>
  </w:docVars>
  <w:rsids>
    <w:rsidRoot w:val="00574CE9"/>
    <w:rsid w:val="000008D4"/>
    <w:rsid w:val="00017B37"/>
    <w:rsid w:val="0004504E"/>
    <w:rsid w:val="0006508E"/>
    <w:rsid w:val="0006618F"/>
    <w:rsid w:val="00087E06"/>
    <w:rsid w:val="000B7776"/>
    <w:rsid w:val="000C680A"/>
    <w:rsid w:val="000C75E1"/>
    <w:rsid w:val="000D7899"/>
    <w:rsid w:val="000D7905"/>
    <w:rsid w:val="000E1FC2"/>
    <w:rsid w:val="00100745"/>
    <w:rsid w:val="00111617"/>
    <w:rsid w:val="00114C3B"/>
    <w:rsid w:val="001170C7"/>
    <w:rsid w:val="001371BA"/>
    <w:rsid w:val="001A6DA9"/>
    <w:rsid w:val="001B383D"/>
    <w:rsid w:val="001D46A0"/>
    <w:rsid w:val="0020363D"/>
    <w:rsid w:val="002168FD"/>
    <w:rsid w:val="00241D1E"/>
    <w:rsid w:val="002B43E7"/>
    <w:rsid w:val="002B4838"/>
    <w:rsid w:val="002B5C7A"/>
    <w:rsid w:val="002C39A1"/>
    <w:rsid w:val="002F7021"/>
    <w:rsid w:val="002F74B9"/>
    <w:rsid w:val="00326DAD"/>
    <w:rsid w:val="00353E93"/>
    <w:rsid w:val="0039310E"/>
    <w:rsid w:val="003C2728"/>
    <w:rsid w:val="003D0B1D"/>
    <w:rsid w:val="0041492F"/>
    <w:rsid w:val="00423348"/>
    <w:rsid w:val="00427E40"/>
    <w:rsid w:val="00434275"/>
    <w:rsid w:val="00437EF8"/>
    <w:rsid w:val="0044156D"/>
    <w:rsid w:val="00450633"/>
    <w:rsid w:val="00491642"/>
    <w:rsid w:val="004C01E6"/>
    <w:rsid w:val="004E35DC"/>
    <w:rsid w:val="004E422B"/>
    <w:rsid w:val="00502EA8"/>
    <w:rsid w:val="00513765"/>
    <w:rsid w:val="0056080F"/>
    <w:rsid w:val="00562018"/>
    <w:rsid w:val="00570236"/>
    <w:rsid w:val="00574538"/>
    <w:rsid w:val="00574CE9"/>
    <w:rsid w:val="005A24A8"/>
    <w:rsid w:val="005C6E1F"/>
    <w:rsid w:val="005E2860"/>
    <w:rsid w:val="005F0794"/>
    <w:rsid w:val="00612062"/>
    <w:rsid w:val="006159CF"/>
    <w:rsid w:val="006552F3"/>
    <w:rsid w:val="00697999"/>
    <w:rsid w:val="006F1030"/>
    <w:rsid w:val="006F2415"/>
    <w:rsid w:val="0070462B"/>
    <w:rsid w:val="0071586F"/>
    <w:rsid w:val="007219E0"/>
    <w:rsid w:val="00730996"/>
    <w:rsid w:val="00731854"/>
    <w:rsid w:val="00736A56"/>
    <w:rsid w:val="00745876"/>
    <w:rsid w:val="00751516"/>
    <w:rsid w:val="00762754"/>
    <w:rsid w:val="007771F1"/>
    <w:rsid w:val="007879E5"/>
    <w:rsid w:val="007A3143"/>
    <w:rsid w:val="007B09C9"/>
    <w:rsid w:val="007C161A"/>
    <w:rsid w:val="007C2285"/>
    <w:rsid w:val="00806E8A"/>
    <w:rsid w:val="00822648"/>
    <w:rsid w:val="00857827"/>
    <w:rsid w:val="0088437A"/>
    <w:rsid w:val="008A3EB5"/>
    <w:rsid w:val="008E735D"/>
    <w:rsid w:val="008F0204"/>
    <w:rsid w:val="00957F9E"/>
    <w:rsid w:val="00961D9F"/>
    <w:rsid w:val="00981C17"/>
    <w:rsid w:val="009A68C5"/>
    <w:rsid w:val="00A0115C"/>
    <w:rsid w:val="00A06384"/>
    <w:rsid w:val="00A151AD"/>
    <w:rsid w:val="00A16FE0"/>
    <w:rsid w:val="00A51AD1"/>
    <w:rsid w:val="00A5319F"/>
    <w:rsid w:val="00A938CE"/>
    <w:rsid w:val="00A9602C"/>
    <w:rsid w:val="00AB39EF"/>
    <w:rsid w:val="00AD382E"/>
    <w:rsid w:val="00AF0C68"/>
    <w:rsid w:val="00AF1334"/>
    <w:rsid w:val="00B0452B"/>
    <w:rsid w:val="00B10791"/>
    <w:rsid w:val="00B17E18"/>
    <w:rsid w:val="00B427E0"/>
    <w:rsid w:val="00B4363E"/>
    <w:rsid w:val="00B458B5"/>
    <w:rsid w:val="00B619FB"/>
    <w:rsid w:val="00BB3097"/>
    <w:rsid w:val="00BC4DAB"/>
    <w:rsid w:val="00BC7573"/>
    <w:rsid w:val="00C166D1"/>
    <w:rsid w:val="00C3766E"/>
    <w:rsid w:val="00C73E4A"/>
    <w:rsid w:val="00CA3929"/>
    <w:rsid w:val="00CB3BDF"/>
    <w:rsid w:val="00CE633F"/>
    <w:rsid w:val="00D27B5D"/>
    <w:rsid w:val="00D3258D"/>
    <w:rsid w:val="00D4357B"/>
    <w:rsid w:val="00D75563"/>
    <w:rsid w:val="00D818C4"/>
    <w:rsid w:val="00D81A19"/>
    <w:rsid w:val="00DC0A0B"/>
    <w:rsid w:val="00DC5809"/>
    <w:rsid w:val="00DD435E"/>
    <w:rsid w:val="00DE3A82"/>
    <w:rsid w:val="00DE524B"/>
    <w:rsid w:val="00DF18F0"/>
    <w:rsid w:val="00E43249"/>
    <w:rsid w:val="00E5320E"/>
    <w:rsid w:val="00E63D6C"/>
    <w:rsid w:val="00EA4EEC"/>
    <w:rsid w:val="00EB0EF4"/>
    <w:rsid w:val="00EC0857"/>
    <w:rsid w:val="00EC184F"/>
    <w:rsid w:val="00ED4822"/>
    <w:rsid w:val="00EF4221"/>
    <w:rsid w:val="00F0658E"/>
    <w:rsid w:val="00F14AA1"/>
    <w:rsid w:val="00F215A0"/>
    <w:rsid w:val="00F357C6"/>
    <w:rsid w:val="00F80524"/>
    <w:rsid w:val="00F83DB9"/>
    <w:rsid w:val="00F83E87"/>
    <w:rsid w:val="00FB4EE1"/>
    <w:rsid w:val="00FE31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6BD7E9"/>
  <w15:docId w15:val="{5E63A268-FB6A-45DE-B58B-4B42B9A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213"/>
      </w:tabs>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Sprechblasentext">
    <w:name w:val="Balloon Text"/>
    <w:basedOn w:val="Standard"/>
    <w:link w:val="SprechblasentextZchn"/>
    <w:rsid w:val="00111617"/>
    <w:rPr>
      <w:rFonts w:ascii="Tahoma" w:hAnsi="Tahoma" w:cs="Tahoma"/>
      <w:sz w:val="16"/>
      <w:szCs w:val="16"/>
    </w:rPr>
  </w:style>
  <w:style w:type="character" w:customStyle="1" w:styleId="SprechblasentextZchn">
    <w:name w:val="Sprechblasentext Zchn"/>
    <w:link w:val="Sprechblasentext"/>
    <w:rsid w:val="00111617"/>
    <w:rPr>
      <w:rFonts w:ascii="Tahoma" w:hAnsi="Tahoma" w:cs="Tahoma"/>
      <w:sz w:val="16"/>
      <w:szCs w:val="16"/>
      <w:lang w:val="de-DE" w:eastAsia="en-US"/>
    </w:rPr>
  </w:style>
  <w:style w:type="paragraph" w:styleId="berarbeitung">
    <w:name w:val="Revision"/>
    <w:hidden/>
    <w:uiPriority w:val="99"/>
    <w:semiHidden/>
    <w:rsid w:val="00EF4221"/>
    <w:rPr>
      <w:rFonts w:ascii="Arial" w:hAnsi="Arial"/>
      <w:sz w:val="22"/>
      <w:lang w:val="de-DE" w:eastAsia="en-US"/>
    </w:rPr>
  </w:style>
  <w:style w:type="paragraph" w:customStyle="1" w:styleId="Marginale">
    <w:name w:val="Marginale"/>
    <w:basedOn w:val="Standard"/>
    <w:next w:val="Standard"/>
    <w:rsid w:val="00B619FB"/>
    <w:rPr>
      <w:sz w:val="20"/>
    </w:rPr>
  </w:style>
  <w:style w:type="character" w:customStyle="1" w:styleId="FunotentextZchn">
    <w:name w:val="Fußnotentext Zchn"/>
    <w:link w:val="Funotentext"/>
    <w:rsid w:val="0056080F"/>
    <w:rPr>
      <w:rFonts w:ascii="Arial" w:hAnsi="Arial"/>
      <w:lang w:val="de-DE" w:eastAsia="en-US"/>
    </w:rPr>
  </w:style>
  <w:style w:type="paragraph" w:styleId="Listenabsatz">
    <w:name w:val="List Paragraph"/>
    <w:basedOn w:val="Standard"/>
    <w:uiPriority w:val="34"/>
    <w:qFormat/>
    <w:rsid w:val="00ED4822"/>
    <w:pPr>
      <w:ind w:left="720"/>
      <w:contextualSpacing/>
    </w:pPr>
  </w:style>
  <w:style w:type="character" w:styleId="Kommentarzeichen">
    <w:name w:val="annotation reference"/>
    <w:basedOn w:val="Absatz-Standardschriftart"/>
    <w:rsid w:val="0088437A"/>
    <w:rPr>
      <w:sz w:val="16"/>
      <w:szCs w:val="16"/>
    </w:rPr>
  </w:style>
  <w:style w:type="paragraph" w:styleId="Kommentartext">
    <w:name w:val="annotation text"/>
    <w:basedOn w:val="Standard"/>
    <w:link w:val="KommentartextZchn"/>
    <w:rsid w:val="0088437A"/>
    <w:rPr>
      <w:sz w:val="20"/>
    </w:rPr>
  </w:style>
  <w:style w:type="character" w:customStyle="1" w:styleId="KommentartextZchn">
    <w:name w:val="Kommentartext Zchn"/>
    <w:basedOn w:val="Absatz-Standardschriftart"/>
    <w:link w:val="Kommentartext"/>
    <w:rsid w:val="0088437A"/>
    <w:rPr>
      <w:rFonts w:ascii="Arial" w:hAnsi="Arial"/>
      <w:lang w:val="de-DE" w:eastAsia="en-US"/>
    </w:rPr>
  </w:style>
  <w:style w:type="paragraph" w:styleId="Kommentarthema">
    <w:name w:val="annotation subject"/>
    <w:basedOn w:val="Kommentartext"/>
    <w:next w:val="Kommentartext"/>
    <w:link w:val="KommentarthemaZchn"/>
    <w:rsid w:val="0088437A"/>
    <w:rPr>
      <w:b/>
      <w:bCs/>
    </w:rPr>
  </w:style>
  <w:style w:type="character" w:customStyle="1" w:styleId="KommentarthemaZchn">
    <w:name w:val="Kommentarthema Zchn"/>
    <w:basedOn w:val="KommentartextZchn"/>
    <w:link w:val="Kommentarthema"/>
    <w:rsid w:val="0088437A"/>
    <w:rPr>
      <w:rFonts w:ascii="Arial" w:hAnsi="Arial"/>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5C5B-6F19-4714-8B47-C537F71D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2505</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Musterreglement für die Spezialfinanzierung Werterhalt Liegenschaften des Finanzvermögens HRM2</vt:lpstr>
      <vt:lpstr>Musterreglement für die Spezialfinanzierung Werterhalt Liegenschaften des Finanzvermögens HRM2</vt:lpstr>
    </vt:vector>
  </TitlesOfParts>
  <Manager>Jelena Ristic</Manager>
  <Company>JGK</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financement spécial «réserve de fluctuation»Règlement du financement spécial «réserve de fluctuation»</dc:title>
  <dc:subject>Musterreglement für die Spezialfinanzierung Werterhalt Liegenschaften des Finanzvermögens</dc:subject>
  <dc:creator/>
  <cp:keywords/>
  <dc:description/>
  <cp:lastModifiedBy>Zurbuchen Kathrin, DIJ-AGR-GeM</cp:lastModifiedBy>
  <cp:revision>10</cp:revision>
  <cp:lastPrinted>2017-05-23T08:10:00Z</cp:lastPrinted>
  <dcterms:created xsi:type="dcterms:W3CDTF">2023-03-30T08:18:00Z</dcterms:created>
  <dcterms:modified xsi:type="dcterms:W3CDTF">2023-06-27T07:34:00Z</dcterms:modified>
  <cp:category>Gemeinden</cp:category>
</cp:coreProperties>
</file>